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DA" w:rsidRDefault="007177DA">
      <w:r>
        <w:t>SRO documentation – revised J</w:t>
      </w:r>
      <w:r w:rsidR="00BB410D">
        <w:t>uly 5, 20</w:t>
      </w:r>
      <w:r w:rsidR="00B72892">
        <w:t>11</w:t>
      </w:r>
    </w:p>
    <w:p w:rsidR="007177DA" w:rsidRDefault="007177DA">
      <w:pPr>
        <w:rPr>
          <w:sz w:val="20"/>
        </w:rPr>
      </w:pPr>
      <w:r>
        <w:rPr>
          <w:sz w:val="20"/>
        </w:rPr>
        <w:t>(Initial communication -- October 2004)</w:t>
      </w:r>
    </w:p>
    <w:p w:rsidR="007177DA" w:rsidRDefault="007177DA"/>
    <w:p w:rsidR="007177DA" w:rsidRDefault="007177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7177DA">
        <w:tc>
          <w:tcPr>
            <w:tcW w:w="8856" w:type="dxa"/>
          </w:tcPr>
          <w:p w:rsidR="007177DA" w:rsidRDefault="007177DA">
            <w:pPr>
              <w:jc w:val="center"/>
            </w:pPr>
          </w:p>
          <w:p w:rsidR="007177DA" w:rsidRDefault="007177DA">
            <w:pPr>
              <w:pStyle w:val="Heading1"/>
            </w:pPr>
            <w:r>
              <w:t>Time Table for Staffing/Laptop Loading</w:t>
            </w:r>
          </w:p>
          <w:p w:rsidR="007177DA" w:rsidRDefault="007177DA">
            <w:pPr>
              <w:jc w:val="center"/>
            </w:pPr>
          </w:p>
        </w:tc>
      </w:tr>
    </w:tbl>
    <w:p w:rsidR="007177DA" w:rsidRDefault="007177DA"/>
    <w:p w:rsidR="007177DA" w:rsidRDefault="007177DA"/>
    <w:p w:rsidR="007177DA" w:rsidRDefault="007177DA">
      <w:pPr>
        <w:rPr>
          <w:sz w:val="20"/>
          <w:szCs w:val="20"/>
        </w:rPr>
      </w:pPr>
      <w:r>
        <w:rPr>
          <w:sz w:val="20"/>
          <w:szCs w:val="20"/>
        </w:rPr>
        <w:t xml:space="preserve">Getting staffing and equipment needs specified early in pre-production will increase the likelihood for a successful launch of a survey project using laptop equipment.  </w:t>
      </w:r>
    </w:p>
    <w:p w:rsidR="007177DA" w:rsidRDefault="007177DA">
      <w:pPr>
        <w:rPr>
          <w:sz w:val="20"/>
          <w:szCs w:val="20"/>
        </w:rPr>
      </w:pPr>
    </w:p>
    <w:p w:rsidR="007177DA" w:rsidRDefault="007177DA">
      <w:pPr>
        <w:rPr>
          <w:sz w:val="20"/>
          <w:szCs w:val="20"/>
        </w:rPr>
      </w:pPr>
      <w:r>
        <w:rPr>
          <w:sz w:val="20"/>
          <w:szCs w:val="20"/>
        </w:rPr>
        <w:t>With input from DCS, TSG and DCO, we are offering the following guidelines:</w:t>
      </w:r>
    </w:p>
    <w:p w:rsidR="007177DA" w:rsidRDefault="007177DA">
      <w:pPr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220"/>
      </w:tblGrid>
      <w:tr w:rsidR="007177DA">
        <w:tc>
          <w:tcPr>
            <w:tcW w:w="4428" w:type="dxa"/>
          </w:tcPr>
          <w:p w:rsidR="007177DA" w:rsidRDefault="007177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TIME – weeks before training 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12+ weeks 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training site/locations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weeks 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base estimate for </w:t>
            </w:r>
            <w:r>
              <w:rPr>
                <w:sz w:val="20"/>
                <w:szCs w:val="20"/>
                <w:u w:val="single"/>
              </w:rPr>
              <w:t>number of iwers</w:t>
            </w:r>
            <w:r>
              <w:rPr>
                <w:sz w:val="20"/>
                <w:szCs w:val="20"/>
              </w:rPr>
              <w:t xml:space="preserve"> (new hire and on-staffers).  [DCO will estimate incremental laptops that may be needed.]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weeks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iwer and laptop counts</w:t>
            </w:r>
          </w:p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[Laptop procurement]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 weeks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iwer and laptop counts – confirm.</w:t>
            </w:r>
          </w:p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laptops ordered if necessary.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list frozen / laptops loaded</w:t>
            </w:r>
          </w:p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Tenrox set up forms to DCO-DCS</w:t>
            </w:r>
          </w:p>
        </w:tc>
      </w:tr>
      <w:tr w:rsidR="007177DA">
        <w:tc>
          <w:tcPr>
            <w:tcW w:w="4428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week</w:t>
            </w:r>
          </w:p>
        </w:tc>
        <w:tc>
          <w:tcPr>
            <w:tcW w:w="5220" w:type="dxa"/>
          </w:tcPr>
          <w:p w:rsidR="007177DA" w:rsidRDefault="0071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launch</w:t>
            </w:r>
          </w:p>
        </w:tc>
      </w:tr>
    </w:tbl>
    <w:p w:rsidR="007177DA" w:rsidRDefault="007177DA">
      <w:pPr>
        <w:rPr>
          <w:sz w:val="20"/>
          <w:szCs w:val="20"/>
        </w:rPr>
      </w:pPr>
    </w:p>
    <w:p w:rsidR="007177DA" w:rsidRDefault="007177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Other noteworthy items:</w:t>
      </w:r>
    </w:p>
    <w:p w:rsidR="007177DA" w:rsidRDefault="007177D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Please contact the DCO Training group early to confirm training site requirements.  (Ashanti and </w:t>
      </w:r>
      <w:r w:rsidR="00C102C7">
        <w:rPr>
          <w:sz w:val="20"/>
          <w:szCs w:val="20"/>
        </w:rPr>
        <w:t>Beth</w:t>
      </w:r>
      <w:r>
        <w:rPr>
          <w:sz w:val="20"/>
          <w:szCs w:val="20"/>
        </w:rPr>
        <w:t xml:space="preserve"> are happy to meet your every need!)</w:t>
      </w:r>
    </w:p>
    <w:p w:rsidR="007177DA" w:rsidRDefault="007177D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Project trainings lasting on 1-3 days typically require 3 months lead time for site selection and confirmation (contract signature).</w:t>
      </w:r>
    </w:p>
    <w:p w:rsidR="007177DA" w:rsidRDefault="007177D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Project training lasting 3+ days typically require 6 months lead time for site selection and confirmation.</w:t>
      </w:r>
    </w:p>
    <w:p w:rsidR="007177DA" w:rsidRDefault="007177D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“Its never too early to plan for site selection.”</w:t>
      </w:r>
    </w:p>
    <w:p w:rsidR="007177DA" w:rsidRDefault="007177DA">
      <w:pPr>
        <w:rPr>
          <w:sz w:val="20"/>
          <w:szCs w:val="20"/>
        </w:rPr>
      </w:pPr>
    </w:p>
    <w:p w:rsidR="007177DA" w:rsidRDefault="007177D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Mike Etzel updates the SRC total laptop usage charts each month and provides input to SRO Operations.   He coordinates laptop purchases for SRO.</w:t>
      </w:r>
    </w:p>
    <w:p w:rsidR="007177DA" w:rsidRDefault="007177D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Production Manager or other responsible team member will need to explicitly coordinate hardware allocation with Mike.</w:t>
      </w:r>
    </w:p>
    <w:p w:rsidR="007177DA" w:rsidRDefault="007177DA">
      <w:pPr>
        <w:rPr>
          <w:sz w:val="20"/>
          <w:szCs w:val="20"/>
        </w:rPr>
      </w:pPr>
    </w:p>
    <w:p w:rsidR="007177DA" w:rsidRDefault="007177D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Regardless of the number of new hires, TSG has requested a two week window between the time the staffing lists are “frozen” and the start of training.  The cross-project coordination for hardware usage warrants this timing.</w:t>
      </w:r>
    </w:p>
    <w:p w:rsidR="007177DA" w:rsidRDefault="007177DA">
      <w:pPr>
        <w:rPr>
          <w:sz w:val="20"/>
          <w:szCs w:val="20"/>
        </w:rPr>
      </w:pPr>
    </w:p>
    <w:p w:rsidR="007177DA" w:rsidRDefault="007177DA">
      <w:pPr>
        <w:numPr>
          <w:ilvl w:val="0"/>
          <w:numId w:val="1"/>
        </w:numPr>
        <w:rPr>
          <w:rFonts w:cs="Arial"/>
          <w:i/>
          <w:sz w:val="20"/>
          <w:szCs w:val="20"/>
        </w:rPr>
      </w:pPr>
      <w:r>
        <w:rPr>
          <w:sz w:val="20"/>
          <w:szCs w:val="20"/>
        </w:rPr>
        <w:t xml:space="preserve">The TSG staff use the Eroom information exchange for updates on the staffing tables for specific projects.  (See document: </w:t>
      </w:r>
      <w:r>
        <w:rPr>
          <w:rFonts w:cs="Arial"/>
          <w:i/>
          <w:sz w:val="20"/>
          <w:szCs w:val="20"/>
        </w:rPr>
        <w:t xml:space="preserve">Interviewer Staff List - Location and Maintenance Procedures </w:t>
      </w:r>
      <w:r>
        <w:rPr>
          <w:rFonts w:cs="Arial"/>
          <w:sz w:val="20"/>
          <w:szCs w:val="20"/>
        </w:rPr>
        <w:t>for details</w:t>
      </w:r>
      <w:r>
        <w:rPr>
          <w:rFonts w:cs="Arial"/>
          <w:i/>
          <w:sz w:val="20"/>
          <w:szCs w:val="20"/>
        </w:rPr>
        <w:t>.)</w:t>
      </w:r>
    </w:p>
    <w:p w:rsidR="007177DA" w:rsidRDefault="007177DA">
      <w:pPr>
        <w:rPr>
          <w:sz w:val="20"/>
          <w:szCs w:val="20"/>
        </w:rPr>
      </w:pPr>
    </w:p>
    <w:p w:rsidR="007177DA" w:rsidRDefault="003542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Field staffing assignments are made by production managers in accordance with the DCO Contingent Staff Assignment policies. </w:t>
      </w:r>
      <w:r w:rsidR="007177DA">
        <w:rPr>
          <w:sz w:val="20"/>
          <w:szCs w:val="20"/>
        </w:rPr>
        <w:t>The DCO Manager will review all staffing plans before interviewers and TLs are approached, and assigned to a project.  If cross-assignments are going to be necessary, this must be vetted through the Board of PIs.  The DCO Manager will coordinate this step with the project leaders and the Board.</w:t>
      </w:r>
    </w:p>
    <w:p w:rsidR="007177DA" w:rsidRDefault="007177DA">
      <w:pPr>
        <w:rPr>
          <w:sz w:val="20"/>
          <w:szCs w:val="20"/>
        </w:rPr>
      </w:pPr>
    </w:p>
    <w:p w:rsidR="007177DA" w:rsidRDefault="007177D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Typically, if an interviewer will  </w:t>
      </w:r>
      <w:r w:rsidR="00C102C7">
        <w:rPr>
          <w:sz w:val="20"/>
          <w:szCs w:val="20"/>
        </w:rPr>
        <w:t xml:space="preserve">not be </w:t>
      </w:r>
      <w:r w:rsidR="00354200">
        <w:rPr>
          <w:sz w:val="20"/>
          <w:szCs w:val="20"/>
        </w:rPr>
        <w:t>active for</w:t>
      </w:r>
      <w:r>
        <w:rPr>
          <w:sz w:val="20"/>
          <w:szCs w:val="20"/>
        </w:rPr>
        <w:t xml:space="preserve"> more than 4 weeks, the laptop should be returned to SRO.</w:t>
      </w:r>
    </w:p>
    <w:p w:rsidR="007177DA" w:rsidRDefault="007177D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Questions about this procedure should be directed to </w:t>
      </w:r>
      <w:r w:rsidR="00C102C7">
        <w:rPr>
          <w:sz w:val="20"/>
          <w:szCs w:val="20"/>
        </w:rPr>
        <w:t xml:space="preserve">Jody Dougherty, </w:t>
      </w:r>
      <w:r>
        <w:rPr>
          <w:sz w:val="20"/>
          <w:szCs w:val="20"/>
        </w:rPr>
        <w:t xml:space="preserve">Vivienne Outlaw, </w:t>
      </w:r>
      <w:r w:rsidR="00C102C7">
        <w:rPr>
          <w:sz w:val="20"/>
          <w:szCs w:val="20"/>
        </w:rPr>
        <w:t xml:space="preserve">or </w:t>
      </w:r>
      <w:r>
        <w:rPr>
          <w:sz w:val="20"/>
          <w:szCs w:val="20"/>
        </w:rPr>
        <w:t>Mike Etzel</w:t>
      </w:r>
      <w:r w:rsidR="00C102C7">
        <w:rPr>
          <w:sz w:val="20"/>
          <w:szCs w:val="20"/>
        </w:rPr>
        <w:t>.</w:t>
      </w:r>
    </w:p>
    <w:p w:rsidR="007177DA" w:rsidRDefault="007177DA">
      <w:pPr>
        <w:rPr>
          <w:sz w:val="20"/>
          <w:szCs w:val="20"/>
        </w:rPr>
      </w:pPr>
    </w:p>
    <w:sectPr w:rsidR="007177DA" w:rsidSect="00C24E2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C1B"/>
    <w:multiLevelType w:val="hybridMultilevel"/>
    <w:tmpl w:val="1736E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217"/>
    <w:rsid w:val="00354200"/>
    <w:rsid w:val="00493CB3"/>
    <w:rsid w:val="007177DA"/>
    <w:rsid w:val="00727305"/>
    <w:rsid w:val="00802AF2"/>
    <w:rsid w:val="00B72892"/>
    <w:rsid w:val="00BB410D"/>
    <w:rsid w:val="00C102C7"/>
    <w:rsid w:val="00C24E25"/>
    <w:rsid w:val="00D3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2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24E2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SRO documentation – October 2004</vt:lpstr>
    </vt:vector>
  </TitlesOfParts>
  <Company>University of Michigan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 documentation – October 2004</dc:title>
  <dc:subject/>
  <dc:creator>pmaher</dc:creator>
  <cp:keywords/>
  <dc:description/>
  <cp:lastModifiedBy>ISR</cp:lastModifiedBy>
  <cp:revision>3</cp:revision>
  <cp:lastPrinted>2005-01-19T12:59:00Z</cp:lastPrinted>
  <dcterms:created xsi:type="dcterms:W3CDTF">2011-07-05T19:53:00Z</dcterms:created>
  <dcterms:modified xsi:type="dcterms:W3CDTF">2011-07-06T13:39:00Z</dcterms:modified>
</cp:coreProperties>
</file>