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51" w:rsidRDefault="00006351">
      <w:pPr>
        <w:widowControl/>
        <w:jc w:val="center"/>
        <w:rPr>
          <w:b/>
          <w:bCs/>
          <w:sz w:val="32"/>
        </w:rPr>
      </w:pPr>
      <w:bookmarkStart w:id="0" w:name="_GoBack"/>
      <w:r>
        <w:rPr>
          <w:b/>
          <w:bCs/>
          <w:sz w:val="32"/>
        </w:rPr>
        <w:t xml:space="preserve">SM Guidebook Formatting and Wording Guidelines </w:t>
      </w:r>
    </w:p>
    <w:p w:rsidR="00006351" w:rsidRDefault="00006351">
      <w:pPr>
        <w:widowControl/>
        <w:jc w:val="center"/>
        <w:rPr>
          <w:b/>
          <w:bCs/>
        </w:rPr>
      </w:pPr>
    </w:p>
    <w:p w:rsidR="00006351" w:rsidRDefault="00006351">
      <w:pPr>
        <w:widowControl/>
      </w:pPr>
      <w:r>
        <w:t>In an effort to minimize the amount of reformatting necessary, please observe the following guidelines when writing sections of the SM Guidebook.</w:t>
      </w:r>
    </w:p>
    <w:p w:rsidR="00006351" w:rsidRDefault="00006351">
      <w:pPr>
        <w:widowControl/>
      </w:pPr>
      <w:r>
        <w:t xml:space="preserve"> </w:t>
      </w:r>
    </w:p>
    <w:p w:rsidR="00006351" w:rsidRDefault="00006351">
      <w:pPr>
        <w:widowControl/>
        <w:numPr>
          <w:ilvl w:val="0"/>
          <w:numId w:val="7"/>
        </w:numPr>
      </w:pPr>
      <w:r>
        <w:t xml:space="preserve">All writing must be done in MS Word 2000. </w:t>
      </w:r>
    </w:p>
    <w:p w:rsidR="00006351" w:rsidRDefault="00006351">
      <w:pPr>
        <w:widowControl/>
        <w:ind w:left="360"/>
      </w:pPr>
    </w:p>
    <w:p w:rsidR="00006351" w:rsidRDefault="00006351">
      <w:pPr>
        <w:widowControl/>
        <w:numPr>
          <w:ilvl w:val="0"/>
          <w:numId w:val="7"/>
        </w:numPr>
      </w:pPr>
      <w:r>
        <w:t>Font for general text should be Times Roman, 12 point.</w:t>
      </w:r>
    </w:p>
    <w:p w:rsidR="00006351" w:rsidRDefault="00006351">
      <w:pPr>
        <w:widowControl/>
      </w:pPr>
    </w:p>
    <w:p w:rsidR="00006351" w:rsidRDefault="00006351">
      <w:pPr>
        <w:widowControl/>
        <w:numPr>
          <w:ilvl w:val="0"/>
          <w:numId w:val="7"/>
        </w:numPr>
      </w:pPr>
      <w:r>
        <w:t xml:space="preserve">Titles and Section numbers should be listed at the top of the first page in Times Roman, 16 point </w:t>
      </w:r>
      <w:r>
        <w:rPr>
          <w:b/>
          <w:bCs/>
        </w:rPr>
        <w:t>bold.</w:t>
      </w:r>
      <w:r>
        <w:t xml:space="preserve"> </w:t>
      </w:r>
    </w:p>
    <w:p w:rsidR="00006351" w:rsidRDefault="00006351">
      <w:pPr>
        <w:widowControl/>
        <w:ind w:left="360"/>
      </w:pPr>
    </w:p>
    <w:p w:rsidR="00006351" w:rsidRDefault="00006351">
      <w:pPr>
        <w:widowControl/>
        <w:numPr>
          <w:ilvl w:val="0"/>
          <w:numId w:val="7"/>
        </w:numPr>
      </w:pPr>
      <w:r>
        <w:t>Margins should be 1” at the top, bottom, right and left;</w:t>
      </w:r>
    </w:p>
    <w:p w:rsidR="00006351" w:rsidRDefault="00006351">
      <w:pPr>
        <w:widowControl/>
      </w:pPr>
    </w:p>
    <w:p w:rsidR="00006351" w:rsidRDefault="00006351">
      <w:pPr>
        <w:widowControl/>
        <w:numPr>
          <w:ilvl w:val="0"/>
          <w:numId w:val="7"/>
        </w:numPr>
      </w:pPr>
      <w:r>
        <w:t>Body text should be 3” from the left side;</w:t>
      </w:r>
    </w:p>
    <w:p w:rsidR="00006351" w:rsidRDefault="00006351">
      <w:pPr>
        <w:widowControl/>
      </w:pPr>
    </w:p>
    <w:p w:rsidR="00006351" w:rsidRDefault="00006351">
      <w:pPr>
        <w:widowControl/>
        <w:numPr>
          <w:ilvl w:val="0"/>
          <w:numId w:val="7"/>
        </w:numPr>
      </w:pPr>
      <w:r>
        <w:t>Single space within paragraphs and double space between paragraphs;</w:t>
      </w:r>
      <w:r>
        <w:tab/>
      </w:r>
    </w:p>
    <w:p w:rsidR="00006351" w:rsidRDefault="00006351">
      <w:pPr>
        <w:widowControl/>
      </w:pPr>
    </w:p>
    <w:p w:rsidR="00006351" w:rsidRDefault="00006351">
      <w:pPr>
        <w:pStyle w:val="BodyTextIndent"/>
        <w:numPr>
          <w:ilvl w:val="0"/>
          <w:numId w:val="7"/>
        </w:numPr>
        <w:rPr>
          <w:rFonts w:ascii="Times New Roman" w:hAnsi="Times New Roman"/>
        </w:rPr>
      </w:pPr>
      <w:r>
        <w:rPr>
          <w:rFonts w:ascii="Times New Roman" w:hAnsi="Times New Roman"/>
        </w:rPr>
        <w:t>Exhibits and Figures should be titled according to the Section convention  (</w:t>
      </w:r>
      <w:proofErr w:type="spellStart"/>
      <w:r>
        <w:rPr>
          <w:rFonts w:ascii="Times New Roman" w:hAnsi="Times New Roman"/>
        </w:rPr>
        <w:t>eg</w:t>
      </w:r>
      <w:proofErr w:type="spellEnd"/>
      <w:r>
        <w:rPr>
          <w:rFonts w:ascii="Times New Roman" w:hAnsi="Times New Roman"/>
        </w:rPr>
        <w:t>: Figure 1.A.1);</w:t>
      </w:r>
    </w:p>
    <w:p w:rsidR="00006351" w:rsidRDefault="00006351">
      <w:pPr>
        <w:pStyle w:val="BodyTextIndent"/>
        <w:ind w:left="0" w:firstLine="0"/>
        <w:rPr>
          <w:rFonts w:ascii="Times New Roman" w:hAnsi="Times New Roman"/>
        </w:rPr>
      </w:pPr>
    </w:p>
    <w:p w:rsidR="00006351" w:rsidRDefault="00006351">
      <w:pPr>
        <w:pStyle w:val="BodyTextIndent"/>
        <w:numPr>
          <w:ilvl w:val="0"/>
          <w:numId w:val="7"/>
        </w:numPr>
        <w:rPr>
          <w:rFonts w:ascii="Times New Roman" w:hAnsi="Times New Roman"/>
        </w:rPr>
      </w:pPr>
      <w:r>
        <w:rPr>
          <w:rFonts w:ascii="Times New Roman" w:hAnsi="Times New Roman"/>
        </w:rPr>
        <w:t xml:space="preserve"> To emphasize words or sentences, use </w:t>
      </w:r>
      <w:r>
        <w:rPr>
          <w:rFonts w:ascii="Times New Roman" w:hAnsi="Times New Roman"/>
          <w:b/>
          <w:bCs/>
        </w:rPr>
        <w:t>bold</w:t>
      </w:r>
      <w:r>
        <w:rPr>
          <w:rFonts w:ascii="Times New Roman" w:hAnsi="Times New Roman"/>
        </w:rPr>
        <w:t xml:space="preserve"> instead of underlining;</w:t>
      </w:r>
    </w:p>
    <w:p w:rsidR="00006351" w:rsidRDefault="00006351">
      <w:pPr>
        <w:pStyle w:val="BodyTextIndent"/>
        <w:ind w:left="0" w:firstLine="0"/>
        <w:rPr>
          <w:rFonts w:ascii="Times New Roman" w:hAnsi="Times New Roman"/>
        </w:rPr>
      </w:pPr>
    </w:p>
    <w:p w:rsidR="00006351" w:rsidRDefault="00006351">
      <w:pPr>
        <w:pStyle w:val="BodyTextIndent"/>
        <w:numPr>
          <w:ilvl w:val="0"/>
          <w:numId w:val="7"/>
        </w:numPr>
        <w:rPr>
          <w:rFonts w:ascii="Times New Roman" w:hAnsi="Times New Roman"/>
        </w:rPr>
      </w:pPr>
      <w:r>
        <w:rPr>
          <w:rFonts w:ascii="Times New Roman" w:hAnsi="Times New Roman"/>
        </w:rPr>
        <w:t>Use &lt;Enter&gt; to refer to entering information in CAPI;</w:t>
      </w:r>
    </w:p>
    <w:p w:rsidR="00006351" w:rsidRDefault="00006351">
      <w:pPr>
        <w:pStyle w:val="BodyTextIndent"/>
        <w:ind w:left="0" w:firstLine="0"/>
        <w:rPr>
          <w:rFonts w:ascii="Times New Roman" w:hAnsi="Times New Roman"/>
        </w:rPr>
      </w:pPr>
    </w:p>
    <w:p w:rsidR="00006351" w:rsidRDefault="00006351">
      <w:pPr>
        <w:pStyle w:val="BodyTextIndent"/>
        <w:numPr>
          <w:ilvl w:val="0"/>
          <w:numId w:val="7"/>
        </w:numPr>
        <w:rPr>
          <w:rFonts w:ascii="Times New Roman" w:hAnsi="Times New Roman"/>
        </w:rPr>
      </w:pPr>
      <w:r>
        <w:rPr>
          <w:rFonts w:ascii="Times New Roman" w:hAnsi="Times New Roman"/>
        </w:rPr>
        <w:t xml:space="preserve"> Make sure the following words appear like this:</w:t>
      </w:r>
    </w:p>
    <w:p w:rsidR="00006351" w:rsidRDefault="00006351">
      <w:pPr>
        <w:widowControl/>
        <w:tabs>
          <w:tab w:val="left" w:pos="720"/>
        </w:tabs>
        <w:ind w:left="720"/>
      </w:pPr>
      <w:r>
        <w:t>“</w:t>
      </w:r>
      <w:proofErr w:type="gramStart"/>
      <w:r>
        <w:t>interviewer</w:t>
      </w:r>
      <w:proofErr w:type="gramEnd"/>
      <w:r>
        <w:t xml:space="preserve">” (not </w:t>
      </w:r>
      <w:proofErr w:type="spellStart"/>
      <w:r>
        <w:t>iwer</w:t>
      </w:r>
      <w:proofErr w:type="spellEnd"/>
      <w:r>
        <w:t>)</w:t>
      </w:r>
    </w:p>
    <w:p w:rsidR="00006351" w:rsidRDefault="00006351">
      <w:pPr>
        <w:widowControl/>
        <w:tabs>
          <w:tab w:val="left" w:pos="720"/>
        </w:tabs>
        <w:ind w:left="720"/>
      </w:pPr>
      <w:r>
        <w:t>“</w:t>
      </w:r>
      <w:proofErr w:type="gramStart"/>
      <w:r>
        <w:t>respondent</w:t>
      </w:r>
      <w:proofErr w:type="gramEnd"/>
      <w:r>
        <w:t>” (not r)</w:t>
      </w:r>
    </w:p>
    <w:p w:rsidR="00006351" w:rsidRDefault="00006351">
      <w:pPr>
        <w:widowControl/>
        <w:tabs>
          <w:tab w:val="left" w:pos="720"/>
        </w:tabs>
        <w:ind w:left="-90"/>
      </w:pPr>
      <w:r>
        <w:tab/>
        <w:t>“</w:t>
      </w:r>
      <w:proofErr w:type="spellStart"/>
      <w:r>
        <w:t>QxQ</w:t>
      </w:r>
      <w:proofErr w:type="spellEnd"/>
      <w:proofErr w:type="gramStart"/>
      <w:r>
        <w:t>”  (</w:t>
      </w:r>
      <w:proofErr w:type="gramEnd"/>
      <w:r>
        <w:t>not Q by Q  or  Q-by-Q)</w:t>
      </w:r>
    </w:p>
    <w:p w:rsidR="00006351" w:rsidRDefault="00006351">
      <w:pPr>
        <w:widowControl/>
        <w:tabs>
          <w:tab w:val="left" w:pos="720"/>
        </w:tabs>
      </w:pPr>
      <w:r>
        <w:tab/>
        <w:t>“</w:t>
      </w:r>
      <w:proofErr w:type="spellStart"/>
      <w:r>
        <w:t>SurveyTrak</w:t>
      </w:r>
      <w:proofErr w:type="spellEnd"/>
      <w:proofErr w:type="gramStart"/>
      <w:r>
        <w:t>”  (</w:t>
      </w:r>
      <w:proofErr w:type="gramEnd"/>
      <w:r>
        <w:t xml:space="preserve">not </w:t>
      </w:r>
      <w:proofErr w:type="spellStart"/>
      <w:r>
        <w:t>STrak</w:t>
      </w:r>
      <w:proofErr w:type="spellEnd"/>
      <w:r>
        <w:t xml:space="preserve">  or Survey </w:t>
      </w:r>
      <w:proofErr w:type="spellStart"/>
      <w:r>
        <w:t>Trak</w:t>
      </w:r>
      <w:proofErr w:type="spellEnd"/>
      <w:r>
        <w:t xml:space="preserve">   or </w:t>
      </w:r>
      <w:proofErr w:type="spellStart"/>
      <w:r>
        <w:t>Surveytrak</w:t>
      </w:r>
      <w:proofErr w:type="spellEnd"/>
      <w:r>
        <w:t>)</w:t>
      </w:r>
    </w:p>
    <w:p w:rsidR="00006351" w:rsidRDefault="00006351">
      <w:pPr>
        <w:widowControl/>
        <w:tabs>
          <w:tab w:val="left" w:pos="720"/>
        </w:tabs>
      </w:pPr>
      <w:r>
        <w:tab/>
        <w:t>“CAPI</w:t>
      </w:r>
      <w:proofErr w:type="gramStart"/>
      <w:r>
        <w:t>”  (</w:t>
      </w:r>
      <w:proofErr w:type="gramEnd"/>
      <w:r>
        <w:t xml:space="preserve">not </w:t>
      </w:r>
      <w:proofErr w:type="spellStart"/>
      <w:r>
        <w:t>capi</w:t>
      </w:r>
      <w:proofErr w:type="spellEnd"/>
      <w:r>
        <w:t xml:space="preserve"> or </w:t>
      </w:r>
      <w:proofErr w:type="spellStart"/>
      <w:r>
        <w:t>Capi</w:t>
      </w:r>
      <w:proofErr w:type="spellEnd"/>
      <w:r>
        <w:t>)</w:t>
      </w:r>
    </w:p>
    <w:p w:rsidR="00006351" w:rsidRDefault="00006351">
      <w:pPr>
        <w:widowControl/>
        <w:tabs>
          <w:tab w:val="left" w:pos="720"/>
        </w:tabs>
      </w:pPr>
      <w:r>
        <w:tab/>
        <w:t>“</w:t>
      </w:r>
      <w:proofErr w:type="spellStart"/>
      <w:proofErr w:type="gramStart"/>
      <w:r>
        <w:t>iPASS</w:t>
      </w:r>
      <w:proofErr w:type="spellEnd"/>
      <w:proofErr w:type="gramEnd"/>
      <w:r>
        <w:t xml:space="preserve">”  (not </w:t>
      </w:r>
      <w:proofErr w:type="spellStart"/>
      <w:r>
        <w:t>ipass</w:t>
      </w:r>
      <w:proofErr w:type="spellEnd"/>
      <w:r>
        <w:t xml:space="preserve"> or IPASS)</w:t>
      </w:r>
    </w:p>
    <w:p w:rsidR="00006351" w:rsidRDefault="00006351">
      <w:pPr>
        <w:widowControl/>
        <w:tabs>
          <w:tab w:val="left" w:pos="720"/>
        </w:tabs>
      </w:pPr>
      <w:r>
        <w:tab/>
        <w:t xml:space="preserve">Call Notes </w:t>
      </w:r>
    </w:p>
    <w:p w:rsidR="00006351" w:rsidRDefault="00006351">
      <w:pPr>
        <w:widowControl/>
        <w:tabs>
          <w:tab w:val="left" w:pos="720"/>
        </w:tabs>
      </w:pPr>
      <w:r>
        <w:tab/>
        <w:t>Team Leader (not TL)</w:t>
      </w:r>
    </w:p>
    <w:p w:rsidR="00006351" w:rsidRDefault="00006351">
      <w:pPr>
        <w:widowControl/>
        <w:tabs>
          <w:tab w:val="left" w:pos="720"/>
        </w:tabs>
      </w:pPr>
      <w:r>
        <w:tab/>
        <w:t>Computer-Assisted Self-Interview</w:t>
      </w:r>
    </w:p>
    <w:p w:rsidR="00006351" w:rsidRDefault="00006351">
      <w:pPr>
        <w:widowControl/>
        <w:tabs>
          <w:tab w:val="left" w:pos="720"/>
        </w:tabs>
        <w:ind w:left="720"/>
      </w:pPr>
      <w:r>
        <w:t>Spanish-speaking</w:t>
      </w:r>
    </w:p>
    <w:p w:rsidR="00006351" w:rsidRDefault="00006351">
      <w:pPr>
        <w:widowControl/>
        <w:tabs>
          <w:tab w:val="left" w:pos="720"/>
        </w:tabs>
        <w:ind w:left="720"/>
      </w:pPr>
      <w:proofErr w:type="spellStart"/>
      <w:r>
        <w:t>WebTrak</w:t>
      </w:r>
      <w:proofErr w:type="spellEnd"/>
    </w:p>
    <w:p w:rsidR="00006351" w:rsidRDefault="00006351">
      <w:pPr>
        <w:widowControl/>
        <w:tabs>
          <w:tab w:val="left" w:pos="720"/>
        </w:tabs>
        <w:ind w:left="720"/>
      </w:pPr>
      <w:proofErr w:type="gramStart"/>
      <w:r>
        <w:t>toll-free</w:t>
      </w:r>
      <w:proofErr w:type="gramEnd"/>
    </w:p>
    <w:p w:rsidR="00006351" w:rsidRDefault="00006351">
      <w:pPr>
        <w:widowControl/>
        <w:tabs>
          <w:tab w:val="left" w:pos="720"/>
        </w:tabs>
        <w:ind w:left="720"/>
      </w:pPr>
      <w:proofErr w:type="gramStart"/>
      <w:r>
        <w:t>and</w:t>
      </w:r>
      <w:proofErr w:type="gramEnd"/>
      <w:r>
        <w:t xml:space="preserve"> (instead of &amp;) (except Q&amp;A)</w:t>
      </w:r>
    </w:p>
    <w:p w:rsidR="00006351" w:rsidRDefault="00006351">
      <w:pPr>
        <w:widowControl/>
        <w:tabs>
          <w:tab w:val="left" w:pos="720"/>
        </w:tabs>
        <w:ind w:left="720"/>
      </w:pPr>
      <w:r>
        <w:t>ISR staff</w:t>
      </w:r>
    </w:p>
    <w:p w:rsidR="00006351" w:rsidRDefault="00006351">
      <w:pPr>
        <w:tabs>
          <w:tab w:val="right" w:pos="9360"/>
        </w:tabs>
      </w:pPr>
    </w:p>
    <w:p w:rsidR="00006351" w:rsidRDefault="00006351">
      <w:pPr>
        <w:tabs>
          <w:tab w:val="right" w:pos="9360"/>
        </w:tabs>
        <w:rPr>
          <w:b/>
          <w:bCs/>
          <w:sz w:val="32"/>
          <w:szCs w:val="32"/>
        </w:rPr>
      </w:pPr>
      <w:r>
        <w:t>The following page contains an example of a correctly formatted section.</w:t>
      </w:r>
      <w:r>
        <w:br w:type="page"/>
      </w:r>
      <w:r>
        <w:rPr>
          <w:b/>
          <w:bCs/>
          <w:sz w:val="32"/>
          <w:szCs w:val="32"/>
        </w:rPr>
        <w:lastRenderedPageBreak/>
        <w:t>Section 1.A</w:t>
      </w:r>
      <w:r>
        <w:rPr>
          <w:b/>
          <w:bCs/>
          <w:sz w:val="32"/>
          <w:szCs w:val="32"/>
        </w:rPr>
        <w:tab/>
        <w:t>Introduction to the NSFG</w:t>
      </w:r>
    </w:p>
    <w:p w:rsidR="00006351" w:rsidRDefault="00006351">
      <w:pPr>
        <w:tabs>
          <w:tab w:val="right" w:pos="9360"/>
        </w:tabs>
        <w:rPr>
          <w:b/>
          <w:bCs/>
          <w:sz w:val="32"/>
          <w:szCs w:val="32"/>
        </w:rPr>
      </w:pPr>
      <w:r>
        <w:rPr>
          <w:sz w:val="32"/>
          <w:szCs w:val="32"/>
        </w:rPr>
        <w:tab/>
      </w:r>
      <w:r>
        <w:rPr>
          <w:b/>
          <w:bCs/>
          <w:sz w:val="32"/>
          <w:szCs w:val="32"/>
        </w:rPr>
        <w:t>Project Overview</w:t>
      </w:r>
    </w:p>
    <w:p w:rsidR="00006351" w:rsidRDefault="00006351">
      <w:pPr>
        <w:rPr>
          <w:sz w:val="32"/>
          <w:szCs w:val="32"/>
        </w:rPr>
      </w:pPr>
      <w:r>
        <w:rPr>
          <w:noProof/>
        </w:rPr>
        <w:pict>
          <v:line id="_x0000_s1026" style="position:absolute;z-index:251657728;mso-position-horizontal-relative:margin" from="0,16pt" to="468pt,16pt" o:allowincell="f" strokeweight=".96pt">
            <w10:wrap anchorx="margin"/>
          </v:line>
        </w:pict>
      </w:r>
    </w:p>
    <w:p w:rsidR="00006351" w:rsidRDefault="00006351">
      <w:pPr>
        <w:rPr>
          <w:szCs w:val="24"/>
        </w:rPr>
      </w:pPr>
    </w:p>
    <w:p w:rsidR="00006351" w:rsidRDefault="00006351">
      <w:pPr>
        <w:rPr>
          <w:b/>
          <w:bCs/>
          <w:szCs w:val="24"/>
        </w:rPr>
      </w:pPr>
      <w:r>
        <w:rPr>
          <w:b/>
          <w:bCs/>
          <w:szCs w:val="24"/>
        </w:rPr>
        <w:t xml:space="preserve">Study Purposes </w:t>
      </w:r>
    </w:p>
    <w:p w:rsidR="00006351" w:rsidRDefault="00006351">
      <w:pPr>
        <w:rPr>
          <w:szCs w:val="24"/>
        </w:rPr>
        <w:sectPr w:rsidR="00006351">
          <w:endnotePr>
            <w:numFmt w:val="decimal"/>
          </w:endnotePr>
          <w:type w:val="continuous"/>
          <w:pgSz w:w="12240" w:h="15840"/>
          <w:pgMar w:top="1440" w:right="1440" w:bottom="1440" w:left="1440" w:header="1440" w:footer="1440" w:gutter="0"/>
          <w:cols w:space="720"/>
        </w:sectPr>
      </w:pPr>
    </w:p>
    <w:p w:rsidR="00006351" w:rsidRDefault="00006351">
      <w:pPr>
        <w:rPr>
          <w:szCs w:val="24"/>
        </w:rPr>
      </w:pPr>
      <w:r>
        <w:rPr>
          <w:szCs w:val="24"/>
        </w:rPr>
        <w:lastRenderedPageBreak/>
        <w:t xml:space="preserve">The National Center for Health Statistics (NCHS) conducts the National Survey of Family Growth (NSFG). The survey focuses on factors related to childbearing, including contraceptive use, infertility, </w:t>
      </w:r>
      <w:proofErr w:type="gramStart"/>
      <w:r>
        <w:rPr>
          <w:szCs w:val="24"/>
        </w:rPr>
        <w:t>sexual</w:t>
      </w:r>
      <w:proofErr w:type="gramEnd"/>
      <w:r>
        <w:rPr>
          <w:szCs w:val="24"/>
        </w:rPr>
        <w:t xml:space="preserve"> activity, use of family planning services, marriage, cohabitation, divorce, and adoption.  An important goal of the NSFG is to provide accurate and reliable data on trends in family life, marriage and divorce, and contraception.  This information will inform the actions and policies of researchers and government agencies concerned with the health of men, women and teens.  </w:t>
      </w:r>
    </w:p>
    <w:p w:rsidR="00006351" w:rsidRDefault="00006351">
      <w:pPr>
        <w:rPr>
          <w:szCs w:val="24"/>
        </w:rPr>
      </w:pPr>
    </w:p>
    <w:p w:rsidR="00006351" w:rsidRDefault="00006351">
      <w:pPr>
        <w:rPr>
          <w:szCs w:val="24"/>
        </w:rPr>
        <w:sectPr w:rsidR="00006351">
          <w:endnotePr>
            <w:numFmt w:val="decimal"/>
          </w:endnotePr>
          <w:type w:val="continuous"/>
          <w:pgSz w:w="12240" w:h="15840"/>
          <w:pgMar w:top="1440" w:right="1440" w:bottom="1440" w:left="4230" w:header="1440" w:footer="1440" w:gutter="0"/>
          <w:cols w:space="720"/>
        </w:sectPr>
      </w:pPr>
    </w:p>
    <w:p w:rsidR="00006351" w:rsidRDefault="00006351">
      <w:pPr>
        <w:tabs>
          <w:tab w:val="left" w:pos="-1080"/>
          <w:tab w:val="left" w:pos="-720"/>
          <w:tab w:val="left" w:pos="0"/>
          <w:tab w:val="left" w:pos="90"/>
          <w:tab w:val="left" w:pos="1440"/>
          <w:tab w:val="left" w:pos="2160"/>
          <w:tab w:val="left" w:pos="2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lastRenderedPageBreak/>
        <w:t xml:space="preserve">The NCHS has conducted five previous cycles of the NSFG, beginning in 1973.  For Cycle 6, NCHS awarded a contract to the Institute for Social Research (ISR) at the University of Michigan. The NCHS conducts the National Survey of Family Growth, under the authorization of 42 U.S.C. 242k (Section 306(b), Paragraph 1 (H) of the Public Health Service Act, as amended), which states that </w:t>
      </w:r>
      <w:proofErr w:type="gramStart"/>
      <w:r>
        <w:rPr>
          <w:szCs w:val="24"/>
        </w:rPr>
        <w:t>NCHS  “</w:t>
      </w:r>
      <w:proofErr w:type="gramEnd"/>
      <w:r>
        <w:rPr>
          <w:szCs w:val="24"/>
        </w:rPr>
        <w:t>shall collect statistics on family formation, growth, and dissolution.”</w:t>
      </w:r>
    </w:p>
    <w:p w:rsidR="00006351" w:rsidRDefault="00006351">
      <w:pPr>
        <w:tabs>
          <w:tab w:val="left" w:pos="-1080"/>
          <w:tab w:val="left" w:pos="-720"/>
          <w:tab w:val="left" w:pos="0"/>
          <w:tab w:val="left" w:pos="90"/>
          <w:tab w:val="left" w:pos="1440"/>
          <w:tab w:val="left" w:pos="2160"/>
          <w:tab w:val="left" w:pos="2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06351" w:rsidRDefault="00006351">
      <w:pPr>
        <w:tabs>
          <w:tab w:val="left" w:pos="-1080"/>
          <w:tab w:val="left" w:pos="-720"/>
          <w:tab w:val="left" w:pos="0"/>
          <w:tab w:val="left" w:pos="90"/>
          <w:tab w:val="left" w:pos="1440"/>
          <w:tab w:val="left" w:pos="2160"/>
          <w:tab w:val="left" w:pos="2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06351" w:rsidRDefault="00006351">
      <w:pPr>
        <w:tabs>
          <w:tab w:val="left" w:pos="-1080"/>
          <w:tab w:val="left" w:pos="-720"/>
          <w:tab w:val="left" w:pos="0"/>
          <w:tab w:val="left" w:pos="90"/>
          <w:tab w:val="left" w:pos="1440"/>
          <w:tab w:val="left" w:pos="2160"/>
          <w:tab w:val="left" w:pos="2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006351">
          <w:endnotePr>
            <w:numFmt w:val="decimal"/>
          </w:endnotePr>
          <w:type w:val="continuous"/>
          <w:pgSz w:w="12240" w:h="15840"/>
          <w:pgMar w:top="1440" w:right="1440" w:bottom="1440" w:left="4230" w:header="1440" w:footer="1440" w:gutter="0"/>
          <w:cols w:space="720"/>
        </w:sectPr>
      </w:pPr>
    </w:p>
    <w:p w:rsidR="00006351" w:rsidRDefault="00006351">
      <w:pPr>
        <w:tabs>
          <w:tab w:val="left" w:pos="-1080"/>
          <w:tab w:val="left" w:pos="-720"/>
          <w:tab w:val="left" w:pos="0"/>
          <w:tab w:val="left" w:pos="90"/>
          <w:tab w:val="left" w:pos="1440"/>
          <w:tab w:val="left" w:pos="2160"/>
          <w:tab w:val="left" w:pos="2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bCs/>
          <w:szCs w:val="24"/>
        </w:rPr>
        <w:lastRenderedPageBreak/>
        <w:t>Who Uses the Data?</w:t>
      </w:r>
    </w:p>
    <w:p w:rsidR="00006351" w:rsidRDefault="00006351" w:rsidP="00006351">
      <w:pPr>
        <w:tabs>
          <w:tab w:val="left" w:pos="-1080"/>
          <w:tab w:val="left" w:pos="-720"/>
          <w:tab w:val="left" w:pos="90"/>
          <w:tab w:val="left" w:pos="1440"/>
          <w:tab w:val="left" w:pos="2160"/>
          <w:tab w:val="left" w:pos="27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rPr>
          <w:szCs w:val="24"/>
        </w:rPr>
        <w:sectPr w:rsidR="00006351" w:rsidSect="00006351">
          <w:endnotePr>
            <w:numFmt w:val="decimal"/>
          </w:endnotePr>
          <w:type w:val="continuous"/>
          <w:pgSz w:w="12240" w:h="15840"/>
          <w:pgMar w:top="1440" w:right="1440" w:bottom="1152" w:left="1440" w:header="1440" w:footer="1440" w:gutter="0"/>
          <w:cols w:space="720"/>
        </w:sectPr>
      </w:pPr>
      <w:r>
        <w:rPr>
          <w:szCs w:val="24"/>
        </w:rPr>
        <w:t>NSFG data are used by academic researchers, government agencies, journalists, physicians, and the public.  Data are typically summarized in statistical reports published by the National Center for Health Statistics (NCHS) and in professional journals.  So far, more than 250 studies of NSFG data have been published by NCHS and by other researchers.  In addition, the data have been used in thousands of newspaper and magazine articles, newsletters, and reports to Congress and other government agencies.</w:t>
      </w:r>
    </w:p>
    <w:bookmarkEnd w:id="0"/>
    <w:p w:rsidR="00006351" w:rsidRDefault="00006351" w:rsidP="00006351">
      <w:pPr>
        <w:widowControl/>
        <w:tabs>
          <w:tab w:val="left" w:pos="720"/>
        </w:tabs>
      </w:pPr>
    </w:p>
    <w:sectPr w:rsidR="00006351">
      <w:endnotePr>
        <w:numFmt w:val="decimal"/>
      </w:endnotePr>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3CAF"/>
    <w:multiLevelType w:val="hybridMultilevel"/>
    <w:tmpl w:val="683C4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13625"/>
    <w:multiLevelType w:val="hybridMultilevel"/>
    <w:tmpl w:val="822A0BA0"/>
    <w:lvl w:ilvl="0" w:tplc="15908E5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EB4656"/>
    <w:multiLevelType w:val="hybridMultilevel"/>
    <w:tmpl w:val="60FC0F7C"/>
    <w:lvl w:ilvl="0" w:tplc="696AA92A">
      <w:start w:val="14"/>
      <w:numFmt w:val="decimal"/>
      <w:lvlText w:val="%1)"/>
      <w:lvlJc w:val="left"/>
      <w:pPr>
        <w:tabs>
          <w:tab w:val="num" w:pos="720"/>
        </w:tabs>
        <w:ind w:left="720" w:hanging="81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nsid w:val="2407473B"/>
    <w:multiLevelType w:val="hybridMultilevel"/>
    <w:tmpl w:val="69F07CA4"/>
    <w:lvl w:ilvl="0" w:tplc="82D0003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EC3D03"/>
    <w:multiLevelType w:val="hybridMultilevel"/>
    <w:tmpl w:val="BA1A22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6150001D"/>
    <w:multiLevelType w:val="hybridMultilevel"/>
    <w:tmpl w:val="30A0CCA4"/>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D6D2F27"/>
    <w:multiLevelType w:val="hybridMultilevel"/>
    <w:tmpl w:val="726C289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351"/>
    <w:rsid w:val="00006351"/>
    <w:rsid w:val="00BB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8"/>
    </w:rPr>
  </w:style>
  <w:style w:type="paragraph" w:styleId="BodyText">
    <w:name w:val="Body Text"/>
    <w:basedOn w:val="Normal"/>
    <w:semiHidden/>
    <w:rPr>
      <w:b/>
    </w:rPr>
  </w:style>
  <w:style w:type="paragraph" w:styleId="BodyTextIndent">
    <w:name w:val="Body Text Indent"/>
    <w:basedOn w:val="Normal"/>
    <w:semiHidden/>
    <w:pPr>
      <w:widowControl/>
      <w:ind w:left="720" w:hanging="720"/>
    </w:pPr>
    <w:rPr>
      <w:rFonts w:ascii="Arial" w:hAnsi="Arial"/>
    </w:rPr>
  </w:style>
  <w:style w:type="character" w:styleId="Strong">
    <w:name w:val="Strong"/>
    <w:basedOn w:val="DefaultParagraphFont"/>
    <w:qFormat/>
    <w:rPr>
      <w:b/>
      <w:bCs/>
    </w:rPr>
  </w:style>
  <w:style w:type="paragraph" w:customStyle="1" w:styleId="Level1">
    <w:name w:val="Level 1"/>
    <w:basedOn w:val="Normal"/>
    <w:pPr>
      <w:numPr>
        <w:numId w:val="1"/>
      </w:numPr>
      <w:autoSpaceDE w:val="0"/>
      <w:autoSpaceDN w:val="0"/>
      <w:adjustRightInd w:val="0"/>
      <w:ind w:left="720"/>
      <w:outlineLvl w:val="0"/>
    </w:pPr>
    <w:rPr>
      <w:snapToGr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NSFG MEMO</vt:lpstr>
    </vt:vector>
  </TitlesOfParts>
  <Company>University of Michigan</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NSFG MEMO</dc:title>
  <dc:creator>Patti Andreski</dc:creator>
  <cp:lastModifiedBy>ruthph</cp:lastModifiedBy>
  <cp:revision>2</cp:revision>
  <cp:lastPrinted>2001-11-28T14:20:00Z</cp:lastPrinted>
  <dcterms:created xsi:type="dcterms:W3CDTF">2012-07-03T00:02:00Z</dcterms:created>
  <dcterms:modified xsi:type="dcterms:W3CDTF">2012-07-03T00:02:00Z</dcterms:modified>
</cp:coreProperties>
</file>