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BAA" w:rsidRDefault="00984BAA">
      <w:pPr>
        <w:rPr>
          <w:sz w:val="36"/>
          <w:szCs w:val="36"/>
        </w:rPr>
      </w:pPr>
    </w:p>
    <w:p w:rsidR="00984BAA" w:rsidRDefault="00906EC0">
      <w:pPr>
        <w:rPr>
          <w:sz w:val="36"/>
          <w:szCs w:val="36"/>
        </w:rPr>
      </w:pPr>
      <w:r>
        <w:rPr>
          <w:noProof/>
          <w:sz w:val="36"/>
          <w:szCs w:val="36"/>
        </w:rPr>
        <w:drawing>
          <wp:inline distT="0" distB="0" distL="0" distR="0">
            <wp:extent cx="1008890" cy="124053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ROacronym-vertical-informal-signature300dp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8890" cy="1240539"/>
                    </a:xfrm>
                    <a:prstGeom prst="rect">
                      <a:avLst/>
                    </a:prstGeom>
                  </pic:spPr>
                </pic:pic>
              </a:graphicData>
            </a:graphic>
          </wp:inline>
        </w:drawing>
      </w:r>
    </w:p>
    <w:p w:rsidR="00984BAA" w:rsidRDefault="00984BAA" w:rsidP="00906EC0">
      <w:pPr>
        <w:rPr>
          <w:sz w:val="72"/>
          <w:szCs w:val="72"/>
        </w:rPr>
      </w:pPr>
    </w:p>
    <w:p w:rsidR="00984BAA" w:rsidRPr="00984BAA" w:rsidRDefault="00984BAA" w:rsidP="00984BAA">
      <w:pPr>
        <w:jc w:val="center"/>
        <w:rPr>
          <w:sz w:val="72"/>
          <w:szCs w:val="72"/>
        </w:rPr>
      </w:pPr>
      <w:r w:rsidRPr="00984BAA">
        <w:rPr>
          <w:sz w:val="72"/>
          <w:szCs w:val="72"/>
        </w:rPr>
        <w:t xml:space="preserve">Retention Schedule for </w:t>
      </w:r>
      <w:r w:rsidR="00D410E5">
        <w:rPr>
          <w:sz w:val="72"/>
          <w:szCs w:val="72"/>
        </w:rPr>
        <w:t>SRO Records</w:t>
      </w:r>
    </w:p>
    <w:p w:rsidR="0075192E" w:rsidRDefault="0075192E" w:rsidP="0075192E">
      <w:pPr>
        <w:jc w:val="center"/>
        <w:rPr>
          <w:sz w:val="36"/>
          <w:szCs w:val="36"/>
        </w:rPr>
      </w:pPr>
      <w:r>
        <w:rPr>
          <w:sz w:val="36"/>
          <w:szCs w:val="36"/>
        </w:rPr>
        <w:t>November 1, 2024</w:t>
      </w:r>
    </w:p>
    <w:p w:rsidR="00984BAA" w:rsidRPr="0075192E" w:rsidRDefault="00984BAA" w:rsidP="0075192E">
      <w:pPr>
        <w:jc w:val="center"/>
        <w:rPr>
          <w:sz w:val="36"/>
          <w:szCs w:val="36"/>
        </w:rPr>
      </w:pPr>
      <w:r w:rsidRPr="0075192E">
        <w:rPr>
          <w:i/>
          <w:sz w:val="36"/>
          <w:szCs w:val="36"/>
        </w:rPr>
        <w:br/>
      </w:r>
    </w:p>
    <w:p w:rsidR="00984BAA" w:rsidRDefault="00984BAA">
      <w:pPr>
        <w:rPr>
          <w:sz w:val="36"/>
          <w:szCs w:val="36"/>
        </w:rPr>
      </w:pPr>
    </w:p>
    <w:p w:rsidR="00984BAA" w:rsidRDefault="00984BAA">
      <w:pPr>
        <w:rPr>
          <w:sz w:val="36"/>
          <w:szCs w:val="36"/>
        </w:rPr>
      </w:pPr>
    </w:p>
    <w:p w:rsidR="00AE4A5C" w:rsidRDefault="00AE4A5C">
      <w:pPr>
        <w:rPr>
          <w:sz w:val="36"/>
          <w:szCs w:val="36"/>
        </w:rPr>
      </w:pPr>
    </w:p>
    <w:p w:rsidR="00984BAA" w:rsidRDefault="00984BAA">
      <w:pPr>
        <w:rPr>
          <w:sz w:val="36"/>
          <w:szCs w:val="36"/>
        </w:rPr>
      </w:pPr>
    </w:p>
    <w:p w:rsidR="00E44A16" w:rsidRPr="00AB4F7F" w:rsidRDefault="00A403F8">
      <w:pPr>
        <w:rPr>
          <w:sz w:val="36"/>
          <w:szCs w:val="36"/>
        </w:rPr>
      </w:pPr>
      <w:r w:rsidRPr="00AB4F7F">
        <w:rPr>
          <w:sz w:val="36"/>
          <w:szCs w:val="36"/>
        </w:rPr>
        <w:lastRenderedPageBreak/>
        <w:t>Record Retention</w:t>
      </w:r>
      <w:r w:rsidR="00D410E5">
        <w:rPr>
          <w:sz w:val="36"/>
          <w:szCs w:val="36"/>
        </w:rPr>
        <w:t xml:space="preserve"> General Concepts</w:t>
      </w:r>
    </w:p>
    <w:p w:rsidR="002A569C" w:rsidRDefault="00AB4F7F" w:rsidP="0018177A">
      <w:pPr>
        <w:pStyle w:val="ListParagraph"/>
        <w:numPr>
          <w:ilvl w:val="0"/>
          <w:numId w:val="9"/>
        </w:numPr>
      </w:pPr>
      <w:r>
        <w:t xml:space="preserve">Project </w:t>
      </w:r>
      <w:r w:rsidR="002A569C">
        <w:t>Contracts a</w:t>
      </w:r>
      <w:r w:rsidR="00D410E5">
        <w:t>nd Data Agreements supercede this retention schedule.</w:t>
      </w:r>
      <w:r w:rsidR="0018177A">
        <w:br/>
      </w:r>
    </w:p>
    <w:p w:rsidR="00D410E5" w:rsidRDefault="0002257B" w:rsidP="0018177A">
      <w:pPr>
        <w:pStyle w:val="ListParagraph"/>
        <w:numPr>
          <w:ilvl w:val="0"/>
          <w:numId w:val="9"/>
        </w:numPr>
      </w:pPr>
      <w:r>
        <w:t xml:space="preserve">Record Close Dates: </w:t>
      </w:r>
      <w:r w:rsidR="003C16C3">
        <w:t xml:space="preserve">The </w:t>
      </w:r>
      <w:r w:rsidR="00D410E5">
        <w:t>Project Grant End Date</w:t>
      </w:r>
      <w:r w:rsidR="003C16C3">
        <w:t xml:space="preserve"> will be use as the records close date </w:t>
      </w:r>
      <w:r>
        <w:t>for project documentation and data. Records close dates for department records and non-sponsored work will be event-based, after a specific piece of work or process is complete. Eligible disposition dates will be calculated as the 1</w:t>
      </w:r>
      <w:r w:rsidRPr="0002257B">
        <w:rPr>
          <w:vertAlign w:val="superscript"/>
        </w:rPr>
        <w:t>st</w:t>
      </w:r>
      <w:r>
        <w:t xml:space="preserve"> day of the calendar year </w:t>
      </w:r>
      <w:r w:rsidR="0013690B">
        <w:t xml:space="preserve">after the retention period has been met. </w:t>
      </w:r>
      <w:r w:rsidR="0018177A">
        <w:br/>
      </w:r>
    </w:p>
    <w:p w:rsidR="002A569C" w:rsidRDefault="0013690B" w:rsidP="0018177A">
      <w:pPr>
        <w:pStyle w:val="ListParagraph"/>
        <w:numPr>
          <w:ilvl w:val="0"/>
          <w:numId w:val="9"/>
        </w:numPr>
      </w:pPr>
      <w:r>
        <w:t xml:space="preserve">Preferred Format: </w:t>
      </w:r>
      <w:r w:rsidR="002A569C">
        <w:t>Almost all records will be archived exclusively in a digital form</w:t>
      </w:r>
      <w:r w:rsidR="00793916">
        <w:t>at with the exceptions listed below. Anything that has unique physical characteristics not easily represented in digital form will be considered on a case by case basis.</w:t>
      </w:r>
    </w:p>
    <w:p w:rsidR="002A569C" w:rsidRDefault="002A569C" w:rsidP="0018177A">
      <w:pPr>
        <w:pStyle w:val="ListParagraph"/>
        <w:numPr>
          <w:ilvl w:val="1"/>
          <w:numId w:val="9"/>
        </w:numPr>
      </w:pPr>
      <w:r>
        <w:t>Paraphernalia such as pens and mugs</w:t>
      </w:r>
    </w:p>
    <w:p w:rsidR="002A569C" w:rsidRDefault="002A569C" w:rsidP="0018177A">
      <w:pPr>
        <w:pStyle w:val="ListParagraph"/>
        <w:numPr>
          <w:ilvl w:val="1"/>
          <w:numId w:val="9"/>
        </w:numPr>
      </w:pPr>
      <w:r>
        <w:t>Printed respondent and interviewer materials such as pamphlets, calendars, brochures, letterhead, and postcards.</w:t>
      </w:r>
    </w:p>
    <w:p w:rsidR="002A569C" w:rsidRDefault="002A569C" w:rsidP="00793916">
      <w:pPr>
        <w:pStyle w:val="ListParagraph"/>
        <w:numPr>
          <w:ilvl w:val="1"/>
          <w:numId w:val="9"/>
        </w:numPr>
      </w:pPr>
      <w:r>
        <w:t>Published and formal reports</w:t>
      </w:r>
      <w:r w:rsidR="0018177A">
        <w:br/>
      </w:r>
    </w:p>
    <w:p w:rsidR="0018177A" w:rsidRDefault="0013690B" w:rsidP="0018177A">
      <w:pPr>
        <w:pStyle w:val="ListParagraph"/>
        <w:numPr>
          <w:ilvl w:val="0"/>
          <w:numId w:val="9"/>
        </w:numPr>
      </w:pPr>
      <w:r>
        <w:t xml:space="preserve">Digitization: </w:t>
      </w:r>
      <w:r w:rsidR="0018177A">
        <w:t>Paper records</w:t>
      </w:r>
      <w:r w:rsidR="002A569C">
        <w:t xml:space="preserve"> may be replaced by a digitized version</w:t>
      </w:r>
      <w:r w:rsidR="0018177A">
        <w:t xml:space="preserve"> after it is verified that content has been correctly captured. If content is entered in a different form (coded, </w:t>
      </w:r>
      <w:r>
        <w:t xml:space="preserve">focus group report, </w:t>
      </w:r>
      <w:r w:rsidR="0018177A">
        <w:t>etc.), then scanning will be at the discretion of the Survey Director and paper records will be destroyed after verification that content has been correctly captured.  Funds for digitizing these records will be drawn from the project’s accounts and must be properly planned for in any project proposal.</w:t>
      </w:r>
      <w:r w:rsidR="0018177A">
        <w:br/>
      </w:r>
    </w:p>
    <w:p w:rsidR="00793916" w:rsidRDefault="0013690B" w:rsidP="00793916">
      <w:pPr>
        <w:pStyle w:val="ListParagraph"/>
        <w:numPr>
          <w:ilvl w:val="0"/>
          <w:numId w:val="9"/>
        </w:numPr>
      </w:pPr>
      <w:r>
        <w:t xml:space="preserve">Excluded: </w:t>
      </w:r>
      <w:r w:rsidR="0018177A">
        <w:t>Within</w:t>
      </w:r>
      <w:r w:rsidR="003C16C3">
        <w:t xml:space="preserve"> any record group, the following </w:t>
      </w:r>
      <w:r w:rsidR="0018177A">
        <w:t xml:space="preserve">items </w:t>
      </w:r>
      <w:r w:rsidR="003C16C3">
        <w:t>do not need to be retained:</w:t>
      </w:r>
    </w:p>
    <w:p w:rsidR="00793916" w:rsidRDefault="0018177A" w:rsidP="00793916">
      <w:pPr>
        <w:pStyle w:val="ListParagraph"/>
        <w:numPr>
          <w:ilvl w:val="1"/>
          <w:numId w:val="9"/>
        </w:numPr>
      </w:pPr>
      <w:r>
        <w:t>Duplicates</w:t>
      </w:r>
    </w:p>
    <w:p w:rsidR="00793916" w:rsidRDefault="0018177A" w:rsidP="00793916">
      <w:pPr>
        <w:pStyle w:val="ListParagraph"/>
        <w:numPr>
          <w:ilvl w:val="1"/>
          <w:numId w:val="9"/>
        </w:numPr>
      </w:pPr>
      <w:r>
        <w:t xml:space="preserve">Preliminary drafts/versions of letters, reports, manuals, informal notes, etc., </w:t>
      </w:r>
      <w:r w:rsidR="003C16C3">
        <w:t>that do</w:t>
      </w:r>
      <w:r>
        <w:t xml:space="preserve"> </w:t>
      </w:r>
      <w:r w:rsidR="003C16C3">
        <w:t>not represent significant steps and/or decisions in the p</w:t>
      </w:r>
      <w:r>
        <w:t>roject</w:t>
      </w:r>
    </w:p>
    <w:p w:rsidR="00793916" w:rsidRDefault="0018177A" w:rsidP="00793916">
      <w:pPr>
        <w:pStyle w:val="ListParagraph"/>
        <w:numPr>
          <w:ilvl w:val="1"/>
          <w:numId w:val="9"/>
        </w:numPr>
      </w:pPr>
      <w:r>
        <w:t>External source materials such as b</w:t>
      </w:r>
      <w:r w:rsidR="003C16C3">
        <w:t>ooks, periodicals, manuals, training binders, newspapers and other printed material</w:t>
      </w:r>
      <w:r>
        <w:t xml:space="preserve"> </w:t>
      </w:r>
      <w:r w:rsidR="003C16C3">
        <w:t>retained primarily for reference</w:t>
      </w:r>
      <w:r w:rsidR="00793916">
        <w:br/>
      </w:r>
    </w:p>
    <w:p w:rsidR="00793916" w:rsidRDefault="007367FC" w:rsidP="00793916">
      <w:pPr>
        <w:pStyle w:val="ListParagraph"/>
        <w:numPr>
          <w:ilvl w:val="0"/>
          <w:numId w:val="9"/>
        </w:numPr>
      </w:pPr>
      <w:r>
        <w:t>Data Accessibility – Access to data will be guaranteed with</w:t>
      </w:r>
      <w:r w:rsidR="0075192E">
        <w:t>in</w:t>
      </w:r>
      <w:r>
        <w:t xml:space="preserve"> the retention period, including stored procedures or other standard queries. Access to the data production environment will not be guaranteed. </w:t>
      </w:r>
    </w:p>
    <w:p w:rsidR="00A403F8" w:rsidRDefault="00A403F8"/>
    <w:p w:rsidR="0075192E" w:rsidRDefault="0075192E"/>
    <w:p w:rsidR="00BA1CF3" w:rsidRDefault="003C16C3">
      <w:r>
        <w:lastRenderedPageBreak/>
        <w:t>Record Groups:</w:t>
      </w:r>
    </w:p>
    <w:tbl>
      <w:tblPr>
        <w:tblStyle w:val="TableGrid"/>
        <w:tblW w:w="0" w:type="auto"/>
        <w:tblLook w:val="04A0" w:firstRow="1" w:lastRow="0" w:firstColumn="1" w:lastColumn="0" w:noHBand="0" w:noVBand="1"/>
      </w:tblPr>
      <w:tblGrid>
        <w:gridCol w:w="6475"/>
        <w:gridCol w:w="2160"/>
        <w:gridCol w:w="3330"/>
      </w:tblGrid>
      <w:tr w:rsidR="00BA1CF3" w:rsidTr="0011175A">
        <w:tc>
          <w:tcPr>
            <w:tcW w:w="6475" w:type="dxa"/>
          </w:tcPr>
          <w:p w:rsidR="00BA1CF3" w:rsidRPr="00293D59" w:rsidRDefault="0011175A" w:rsidP="00293D59">
            <w:pPr>
              <w:pStyle w:val="Heading1"/>
              <w:outlineLvl w:val="0"/>
            </w:pPr>
            <w:r>
              <w:t>Departments</w:t>
            </w:r>
          </w:p>
        </w:tc>
        <w:tc>
          <w:tcPr>
            <w:tcW w:w="2160" w:type="dxa"/>
          </w:tcPr>
          <w:p w:rsidR="00BA1CF3" w:rsidRPr="00293D59" w:rsidRDefault="00BA1CF3" w:rsidP="00293D59">
            <w:pPr>
              <w:pStyle w:val="Heading1"/>
              <w:outlineLvl w:val="0"/>
            </w:pPr>
            <w:r w:rsidRPr="00293D59">
              <w:t>Retention</w:t>
            </w:r>
          </w:p>
        </w:tc>
        <w:tc>
          <w:tcPr>
            <w:tcW w:w="3330" w:type="dxa"/>
          </w:tcPr>
          <w:p w:rsidR="00BA1CF3" w:rsidRPr="00293D59" w:rsidRDefault="00BA1CF3" w:rsidP="00293D59">
            <w:pPr>
              <w:pStyle w:val="Heading1"/>
              <w:outlineLvl w:val="0"/>
            </w:pPr>
            <w:r w:rsidRPr="00293D59">
              <w:t>Disposition</w:t>
            </w:r>
          </w:p>
        </w:tc>
      </w:tr>
      <w:tr w:rsidR="00293D59" w:rsidTr="0011175A">
        <w:tc>
          <w:tcPr>
            <w:tcW w:w="6475" w:type="dxa"/>
          </w:tcPr>
          <w:p w:rsidR="00A77E14" w:rsidRDefault="00AA4CD1" w:rsidP="00AA4CD1">
            <w:r>
              <w:t xml:space="preserve">All Departments </w:t>
            </w:r>
            <w:r w:rsidR="00A77E14">
              <w:t>–</w:t>
            </w:r>
            <w:r>
              <w:t xml:space="preserve"> </w:t>
            </w:r>
          </w:p>
          <w:p w:rsidR="00A77E14" w:rsidRDefault="00293D59" w:rsidP="00A77E14">
            <w:pPr>
              <w:pStyle w:val="ListParagraph"/>
              <w:numPr>
                <w:ilvl w:val="0"/>
                <w:numId w:val="16"/>
              </w:numPr>
            </w:pPr>
            <w:r>
              <w:t>Administrative</w:t>
            </w:r>
            <w:r w:rsidR="0011175A">
              <w:t xml:space="preserve"> rec</w:t>
            </w:r>
            <w:r w:rsidR="00A77E14">
              <w:t>ords</w:t>
            </w:r>
          </w:p>
          <w:p w:rsidR="00A77E14" w:rsidRDefault="00A77E14" w:rsidP="00A77E14">
            <w:pPr>
              <w:pStyle w:val="ListParagraph"/>
              <w:numPr>
                <w:ilvl w:val="0"/>
                <w:numId w:val="16"/>
              </w:numPr>
            </w:pPr>
            <w:r>
              <w:t>Standards</w:t>
            </w:r>
            <w:r w:rsidR="00FD6C48">
              <w:t>/Initiatives</w:t>
            </w:r>
          </w:p>
          <w:p w:rsidR="00293D59" w:rsidRDefault="00A77E14" w:rsidP="00A77E14">
            <w:pPr>
              <w:pStyle w:val="ListParagraph"/>
              <w:numPr>
                <w:ilvl w:val="0"/>
                <w:numId w:val="16"/>
              </w:numPr>
            </w:pPr>
            <w:r>
              <w:t>B</w:t>
            </w:r>
            <w:r w:rsidR="00AA4CD1">
              <w:t>est practices</w:t>
            </w:r>
          </w:p>
          <w:p w:rsidR="00961C41" w:rsidRPr="00293D59" w:rsidRDefault="00961C41" w:rsidP="00A77E14">
            <w:pPr>
              <w:pStyle w:val="ListParagraph"/>
              <w:numPr>
                <w:ilvl w:val="0"/>
                <w:numId w:val="16"/>
              </w:numPr>
            </w:pPr>
            <w:r>
              <w:t>Trends and operational data</w:t>
            </w:r>
          </w:p>
        </w:tc>
        <w:tc>
          <w:tcPr>
            <w:tcW w:w="2160" w:type="dxa"/>
          </w:tcPr>
          <w:p w:rsidR="00293D59" w:rsidRPr="00293D59" w:rsidRDefault="00293D59" w:rsidP="00293D59">
            <w:r>
              <w:t>10 years</w:t>
            </w:r>
          </w:p>
        </w:tc>
        <w:tc>
          <w:tcPr>
            <w:tcW w:w="3330" w:type="dxa"/>
          </w:tcPr>
          <w:p w:rsidR="00293D59" w:rsidRDefault="00293D59" w:rsidP="00293D59">
            <w:r>
              <w:t>Review for archival value</w:t>
            </w:r>
          </w:p>
          <w:p w:rsidR="00293D59" w:rsidRPr="00293D59" w:rsidRDefault="00293D59" w:rsidP="00293D59">
            <w:r>
              <w:t>Shred/delete</w:t>
            </w:r>
          </w:p>
        </w:tc>
      </w:tr>
      <w:tr w:rsidR="00FD6C48" w:rsidTr="0011175A">
        <w:tc>
          <w:tcPr>
            <w:tcW w:w="6475" w:type="dxa"/>
          </w:tcPr>
          <w:p w:rsidR="00FD6C48" w:rsidRDefault="00FD6C48" w:rsidP="00FD6C48">
            <w:r>
              <w:t xml:space="preserve">All Departments -  </w:t>
            </w:r>
          </w:p>
          <w:p w:rsidR="00FD6C48" w:rsidRDefault="00FD6C48" w:rsidP="00FD6C48">
            <w:pPr>
              <w:pStyle w:val="ListParagraph"/>
              <w:numPr>
                <w:ilvl w:val="0"/>
                <w:numId w:val="17"/>
              </w:numPr>
            </w:pPr>
            <w:r>
              <w:t>Employee</w:t>
            </w:r>
            <w:r w:rsidR="00C30593">
              <w:t>/personnel</w:t>
            </w:r>
            <w:r>
              <w:t xml:space="preserve"> records</w:t>
            </w:r>
            <w:r w:rsidR="00C30593">
              <w:t xml:space="preserve"> </w:t>
            </w:r>
            <w:r w:rsidR="007B15DE">
              <w:t>incl. Payroll/Tax records</w:t>
            </w:r>
          </w:p>
        </w:tc>
        <w:tc>
          <w:tcPr>
            <w:tcW w:w="2160" w:type="dxa"/>
          </w:tcPr>
          <w:p w:rsidR="00FD6C48" w:rsidRDefault="00C30593" w:rsidP="00FD6C48">
            <w:r>
              <w:t xml:space="preserve">10 </w:t>
            </w:r>
            <w:r w:rsidR="00FD6C48">
              <w:t>years from end of employment</w:t>
            </w:r>
          </w:p>
        </w:tc>
        <w:tc>
          <w:tcPr>
            <w:tcW w:w="3330" w:type="dxa"/>
          </w:tcPr>
          <w:p w:rsidR="00FD6C48" w:rsidRDefault="00FD6C48" w:rsidP="00FD6C48">
            <w:r>
              <w:t>Shred/Delete</w:t>
            </w:r>
          </w:p>
        </w:tc>
      </w:tr>
      <w:tr w:rsidR="00FD6C48" w:rsidTr="0011175A">
        <w:tc>
          <w:tcPr>
            <w:tcW w:w="6475" w:type="dxa"/>
          </w:tcPr>
          <w:p w:rsidR="00FD6C48" w:rsidRDefault="00FD6C48" w:rsidP="00FD6C48">
            <w:r>
              <w:t xml:space="preserve">Proposals – Awarded </w:t>
            </w:r>
          </w:p>
          <w:p w:rsidR="00FD6C48" w:rsidRDefault="00FD6C48" w:rsidP="00FD6C48"/>
        </w:tc>
        <w:tc>
          <w:tcPr>
            <w:tcW w:w="2160" w:type="dxa"/>
          </w:tcPr>
          <w:p w:rsidR="00FD6C48" w:rsidRDefault="00FD6C48" w:rsidP="00FD6C48">
            <w:r>
              <w:t>Permanent</w:t>
            </w:r>
          </w:p>
        </w:tc>
        <w:tc>
          <w:tcPr>
            <w:tcW w:w="3330" w:type="dxa"/>
          </w:tcPr>
          <w:p w:rsidR="00FD6C48" w:rsidRDefault="00FD6C48" w:rsidP="00FD6C48">
            <w:r>
              <w:t>Archive</w:t>
            </w:r>
          </w:p>
        </w:tc>
      </w:tr>
      <w:tr w:rsidR="00FD6C48" w:rsidTr="0011175A">
        <w:tc>
          <w:tcPr>
            <w:tcW w:w="6475" w:type="dxa"/>
          </w:tcPr>
          <w:p w:rsidR="00FD6C48" w:rsidRDefault="00FD6C48" w:rsidP="00FD6C48">
            <w:r>
              <w:t xml:space="preserve">Proposals – Not Granted </w:t>
            </w:r>
          </w:p>
          <w:p w:rsidR="00FD6C48" w:rsidRDefault="00FD6C48" w:rsidP="00FD6C48"/>
        </w:tc>
        <w:tc>
          <w:tcPr>
            <w:tcW w:w="2160" w:type="dxa"/>
          </w:tcPr>
          <w:p w:rsidR="00FD6C48" w:rsidRDefault="00FD6C48" w:rsidP="00FD6C48">
            <w:r>
              <w:t>10 years</w:t>
            </w:r>
          </w:p>
        </w:tc>
        <w:tc>
          <w:tcPr>
            <w:tcW w:w="3330" w:type="dxa"/>
          </w:tcPr>
          <w:p w:rsidR="00FD6C48" w:rsidRDefault="00FD6C48" w:rsidP="00FD6C48">
            <w:r>
              <w:t>Shred/Delete</w:t>
            </w:r>
          </w:p>
        </w:tc>
      </w:tr>
      <w:tr w:rsidR="00FD6C48" w:rsidTr="0011175A">
        <w:tc>
          <w:tcPr>
            <w:tcW w:w="6475" w:type="dxa"/>
          </w:tcPr>
          <w:p w:rsidR="00FD6C48" w:rsidRDefault="00FD6C48" w:rsidP="00FD6C48">
            <w:r>
              <w:t xml:space="preserve">Finance - </w:t>
            </w:r>
          </w:p>
          <w:p w:rsidR="00FD6C48" w:rsidRDefault="00FD6C48" w:rsidP="00FD6C48">
            <w:pPr>
              <w:pStyle w:val="ListParagraph"/>
              <w:numPr>
                <w:ilvl w:val="0"/>
                <w:numId w:val="17"/>
              </w:numPr>
            </w:pPr>
            <w:r>
              <w:t>Budgets</w:t>
            </w:r>
          </w:p>
          <w:p w:rsidR="00FD6C48" w:rsidRDefault="00FD6C48" w:rsidP="00FD6C48">
            <w:pPr>
              <w:pStyle w:val="ListParagraph"/>
              <w:numPr>
                <w:ilvl w:val="0"/>
                <w:numId w:val="17"/>
              </w:numPr>
            </w:pPr>
            <w:r>
              <w:t>Reports</w:t>
            </w:r>
          </w:p>
          <w:p w:rsidR="00C30593" w:rsidRDefault="00FD6C48" w:rsidP="007B15DE">
            <w:pPr>
              <w:pStyle w:val="ListParagraph"/>
              <w:numPr>
                <w:ilvl w:val="0"/>
                <w:numId w:val="17"/>
              </w:numPr>
            </w:pPr>
            <w:r>
              <w:t>Receipts</w:t>
            </w:r>
          </w:p>
        </w:tc>
        <w:tc>
          <w:tcPr>
            <w:tcW w:w="2160" w:type="dxa"/>
          </w:tcPr>
          <w:p w:rsidR="00FD6C48" w:rsidRDefault="007B15DE" w:rsidP="00FD6C48">
            <w:r>
              <w:t xml:space="preserve">10 </w:t>
            </w:r>
            <w:r w:rsidR="00FD6C48">
              <w:t>years</w:t>
            </w:r>
          </w:p>
        </w:tc>
        <w:tc>
          <w:tcPr>
            <w:tcW w:w="3330" w:type="dxa"/>
          </w:tcPr>
          <w:p w:rsidR="00FD6C48" w:rsidRDefault="00FD6C48" w:rsidP="00FD6C48">
            <w:r>
              <w:t>Shred/Delete</w:t>
            </w:r>
          </w:p>
        </w:tc>
      </w:tr>
      <w:tr w:rsidR="00FD6C48" w:rsidTr="0011175A">
        <w:tc>
          <w:tcPr>
            <w:tcW w:w="6475" w:type="dxa"/>
          </w:tcPr>
          <w:p w:rsidR="00FD6C48" w:rsidRDefault="00FD6C48" w:rsidP="00FD6C48">
            <w:r>
              <w:t xml:space="preserve">Sampling/Stats – </w:t>
            </w:r>
          </w:p>
          <w:p w:rsidR="00FD6C48" w:rsidRDefault="007B15DE" w:rsidP="00FD6C48">
            <w:pPr>
              <w:pStyle w:val="ListParagraph"/>
              <w:numPr>
                <w:ilvl w:val="0"/>
                <w:numId w:val="19"/>
              </w:numPr>
            </w:pPr>
            <w:r>
              <w:t>General m</w:t>
            </w:r>
            <w:r w:rsidR="00FD6C48">
              <w:t>ethodology</w:t>
            </w:r>
          </w:p>
          <w:p w:rsidR="00FD6C48" w:rsidRDefault="00FD6C48" w:rsidP="00FD6C48">
            <w:pPr>
              <w:pStyle w:val="ListParagraph"/>
              <w:numPr>
                <w:ilvl w:val="0"/>
                <w:numId w:val="19"/>
              </w:numPr>
            </w:pPr>
            <w:r>
              <w:t>External data sources</w:t>
            </w:r>
          </w:p>
          <w:p w:rsidR="00FD6C48" w:rsidRDefault="00FD6C48" w:rsidP="00FD6C48">
            <w:pPr>
              <w:pStyle w:val="ListParagraph"/>
              <w:numPr>
                <w:ilvl w:val="0"/>
                <w:numId w:val="19"/>
              </w:numPr>
            </w:pPr>
            <w:r>
              <w:t>Production Monitoring</w:t>
            </w:r>
          </w:p>
        </w:tc>
        <w:tc>
          <w:tcPr>
            <w:tcW w:w="2160" w:type="dxa"/>
          </w:tcPr>
          <w:p w:rsidR="00FD6C48" w:rsidRDefault="00FD6C48" w:rsidP="00FD6C48">
            <w:r>
              <w:t>10 years</w:t>
            </w:r>
          </w:p>
        </w:tc>
        <w:tc>
          <w:tcPr>
            <w:tcW w:w="3330" w:type="dxa"/>
          </w:tcPr>
          <w:p w:rsidR="00FD6C48" w:rsidRDefault="00FD6C48" w:rsidP="00FD6C48">
            <w:r>
              <w:t>Review for archival value</w:t>
            </w:r>
          </w:p>
          <w:p w:rsidR="00FD6C48" w:rsidRDefault="00FD6C48" w:rsidP="00FD6C48">
            <w:r>
              <w:t>Shred/Delete</w:t>
            </w:r>
          </w:p>
        </w:tc>
      </w:tr>
      <w:tr w:rsidR="00FD6C48" w:rsidTr="0011175A">
        <w:tc>
          <w:tcPr>
            <w:tcW w:w="6475" w:type="dxa"/>
          </w:tcPr>
          <w:p w:rsidR="00FD6C48" w:rsidRDefault="00FD6C48" w:rsidP="00FD6C48">
            <w:r>
              <w:t xml:space="preserve">Technical Services – </w:t>
            </w:r>
          </w:p>
          <w:p w:rsidR="00FD6C48" w:rsidRDefault="00FD6C48" w:rsidP="00FD6C48">
            <w:pPr>
              <w:pStyle w:val="ListParagraph"/>
              <w:numPr>
                <w:ilvl w:val="0"/>
                <w:numId w:val="18"/>
              </w:numPr>
            </w:pPr>
            <w:r>
              <w:t>Software (compiled) applications</w:t>
            </w:r>
          </w:p>
          <w:p w:rsidR="00FD6C48" w:rsidRDefault="00FD6C48" w:rsidP="00FD6C48">
            <w:pPr>
              <w:pStyle w:val="ListParagraph"/>
              <w:numPr>
                <w:ilvl w:val="0"/>
                <w:numId w:val="18"/>
              </w:numPr>
            </w:pPr>
            <w:r>
              <w:t>Source code</w:t>
            </w:r>
          </w:p>
          <w:p w:rsidR="00FD6C48" w:rsidRDefault="00FD6C48" w:rsidP="00FD6C48">
            <w:pPr>
              <w:pStyle w:val="ListParagraph"/>
              <w:numPr>
                <w:ilvl w:val="0"/>
                <w:numId w:val="18"/>
              </w:numPr>
            </w:pPr>
            <w:r>
              <w:t>User manuals</w:t>
            </w:r>
          </w:p>
        </w:tc>
        <w:tc>
          <w:tcPr>
            <w:tcW w:w="2160" w:type="dxa"/>
          </w:tcPr>
          <w:p w:rsidR="00FD6C48" w:rsidRDefault="007B15DE" w:rsidP="00FD6C48">
            <w:r>
              <w:t>10</w:t>
            </w:r>
            <w:r w:rsidR="00FD6C48">
              <w:t xml:space="preserve"> years</w:t>
            </w:r>
            <w:r w:rsidR="00C30593">
              <w:t xml:space="preserve"> from EOL</w:t>
            </w:r>
          </w:p>
        </w:tc>
        <w:tc>
          <w:tcPr>
            <w:tcW w:w="3330" w:type="dxa"/>
          </w:tcPr>
          <w:p w:rsidR="00FD6C48" w:rsidRDefault="00FD6C48" w:rsidP="00FD6C48">
            <w:r>
              <w:t>Review for operational value</w:t>
            </w:r>
          </w:p>
          <w:p w:rsidR="00FD6C48" w:rsidRDefault="00FD6C48" w:rsidP="00FD6C48">
            <w:r>
              <w:t>Delete</w:t>
            </w:r>
          </w:p>
        </w:tc>
      </w:tr>
    </w:tbl>
    <w:p w:rsidR="0075192E" w:rsidRDefault="0075192E"/>
    <w:p w:rsidR="0075192E" w:rsidRDefault="0075192E">
      <w:r>
        <w:br w:type="page"/>
      </w:r>
    </w:p>
    <w:p w:rsidR="001D666F" w:rsidRDefault="001D666F"/>
    <w:tbl>
      <w:tblPr>
        <w:tblStyle w:val="TableGrid"/>
        <w:tblW w:w="0" w:type="auto"/>
        <w:tblLook w:val="04A0" w:firstRow="1" w:lastRow="0" w:firstColumn="1" w:lastColumn="0" w:noHBand="0" w:noVBand="1"/>
      </w:tblPr>
      <w:tblGrid>
        <w:gridCol w:w="6475"/>
        <w:gridCol w:w="2160"/>
        <w:gridCol w:w="3330"/>
      </w:tblGrid>
      <w:tr w:rsidR="00F64170" w:rsidTr="009F5D34">
        <w:tc>
          <w:tcPr>
            <w:tcW w:w="6475" w:type="dxa"/>
          </w:tcPr>
          <w:p w:rsidR="00F64170" w:rsidRDefault="00F64170" w:rsidP="009F5D34">
            <w:pPr>
              <w:pStyle w:val="Heading1"/>
              <w:outlineLvl w:val="0"/>
            </w:pPr>
            <w:r>
              <w:t>Projects</w:t>
            </w:r>
          </w:p>
        </w:tc>
        <w:tc>
          <w:tcPr>
            <w:tcW w:w="2160" w:type="dxa"/>
          </w:tcPr>
          <w:p w:rsidR="00F64170" w:rsidRDefault="00F64170" w:rsidP="009F5D34">
            <w:pPr>
              <w:pStyle w:val="Heading1"/>
              <w:outlineLvl w:val="0"/>
            </w:pPr>
            <w:r>
              <w:t>Retention</w:t>
            </w:r>
          </w:p>
        </w:tc>
        <w:tc>
          <w:tcPr>
            <w:tcW w:w="3330" w:type="dxa"/>
          </w:tcPr>
          <w:p w:rsidR="00F64170" w:rsidRDefault="00F64170" w:rsidP="009F5D34">
            <w:pPr>
              <w:pStyle w:val="Heading1"/>
              <w:outlineLvl w:val="0"/>
            </w:pPr>
            <w:r>
              <w:t>Disposition</w:t>
            </w:r>
          </w:p>
        </w:tc>
      </w:tr>
      <w:tr w:rsidR="00F64170" w:rsidTr="009F5D34">
        <w:tc>
          <w:tcPr>
            <w:tcW w:w="6475" w:type="dxa"/>
          </w:tcPr>
          <w:p w:rsidR="00A77E14" w:rsidRDefault="00F64170" w:rsidP="009F5D34">
            <w:r>
              <w:t xml:space="preserve">Project Documentation – (not limited to) </w:t>
            </w:r>
          </w:p>
          <w:p w:rsidR="00A77E14" w:rsidRDefault="00F64170" w:rsidP="00A77E14">
            <w:pPr>
              <w:pStyle w:val="ListParagraph"/>
              <w:numPr>
                <w:ilvl w:val="0"/>
                <w:numId w:val="15"/>
              </w:numPr>
            </w:pPr>
            <w:r>
              <w:t>Design and methodology documentation</w:t>
            </w:r>
          </w:p>
          <w:p w:rsidR="00A77E14" w:rsidRDefault="00F64170" w:rsidP="00A77E14">
            <w:pPr>
              <w:pStyle w:val="ListParagraph"/>
              <w:numPr>
                <w:ilvl w:val="0"/>
                <w:numId w:val="15"/>
              </w:numPr>
            </w:pPr>
            <w:r>
              <w:t>IRB applications and respondent</w:t>
            </w:r>
            <w:r w:rsidR="00A77E14">
              <w:t xml:space="preserve"> materials</w:t>
            </w:r>
          </w:p>
          <w:p w:rsidR="00A77E14" w:rsidRDefault="00A77E14" w:rsidP="00A77E14">
            <w:pPr>
              <w:pStyle w:val="ListParagraph"/>
              <w:numPr>
                <w:ilvl w:val="0"/>
                <w:numId w:val="15"/>
              </w:numPr>
            </w:pPr>
            <w:r>
              <w:t>T</w:t>
            </w:r>
            <w:r w:rsidR="00F64170">
              <w:t>raining manuals</w:t>
            </w:r>
            <w:r w:rsidR="00855D64">
              <w:t xml:space="preserve"> and materials</w:t>
            </w:r>
          </w:p>
          <w:p w:rsidR="00A77E14" w:rsidRDefault="00A77E14" w:rsidP="00A77E14">
            <w:pPr>
              <w:pStyle w:val="ListParagraph"/>
              <w:numPr>
                <w:ilvl w:val="0"/>
                <w:numId w:val="15"/>
              </w:numPr>
            </w:pPr>
            <w:r>
              <w:t>C</w:t>
            </w:r>
            <w:r w:rsidR="00F64170">
              <w:t>l</w:t>
            </w:r>
            <w:r>
              <w:t>ient reports, progress reports</w:t>
            </w:r>
          </w:p>
          <w:p w:rsidR="00A77E14" w:rsidRDefault="00A77E14" w:rsidP="00A77E14">
            <w:pPr>
              <w:pStyle w:val="ListParagraph"/>
              <w:numPr>
                <w:ilvl w:val="0"/>
                <w:numId w:val="15"/>
              </w:numPr>
            </w:pPr>
            <w:r>
              <w:t>QC plans</w:t>
            </w:r>
          </w:p>
          <w:p w:rsidR="00A77E14" w:rsidRDefault="00A77E14" w:rsidP="00A77E14">
            <w:pPr>
              <w:pStyle w:val="ListParagraph"/>
              <w:numPr>
                <w:ilvl w:val="0"/>
                <w:numId w:val="15"/>
              </w:numPr>
            </w:pPr>
            <w:r>
              <w:t>Final instruments</w:t>
            </w:r>
          </w:p>
          <w:p w:rsidR="00A77E14" w:rsidRDefault="00A77E14" w:rsidP="00A77E14">
            <w:pPr>
              <w:pStyle w:val="ListParagraph"/>
              <w:numPr>
                <w:ilvl w:val="0"/>
                <w:numId w:val="15"/>
              </w:numPr>
            </w:pPr>
            <w:r>
              <w:t>C</w:t>
            </w:r>
            <w:r w:rsidR="00F64170">
              <w:t>oding specifications, technical system specification</w:t>
            </w:r>
            <w:r>
              <w:t>s</w:t>
            </w:r>
          </w:p>
          <w:p w:rsidR="00F64170" w:rsidRDefault="00A77E14" w:rsidP="00A77E14">
            <w:pPr>
              <w:pStyle w:val="ListParagraph"/>
              <w:numPr>
                <w:ilvl w:val="0"/>
                <w:numId w:val="15"/>
              </w:numPr>
            </w:pPr>
            <w:r>
              <w:t>C</w:t>
            </w:r>
            <w:r w:rsidR="00F64170">
              <w:t>odebooks, debrief reports, weights, etc.</w:t>
            </w:r>
          </w:p>
          <w:p w:rsidR="00F64170" w:rsidRDefault="00F64170" w:rsidP="009F5D34"/>
        </w:tc>
        <w:tc>
          <w:tcPr>
            <w:tcW w:w="2160" w:type="dxa"/>
          </w:tcPr>
          <w:p w:rsidR="00F64170" w:rsidRDefault="00F64170" w:rsidP="009F5D34">
            <w:r>
              <w:t>Permanent</w:t>
            </w:r>
          </w:p>
        </w:tc>
        <w:tc>
          <w:tcPr>
            <w:tcW w:w="3330" w:type="dxa"/>
          </w:tcPr>
          <w:p w:rsidR="00F64170" w:rsidRDefault="00F64170" w:rsidP="009F5D34">
            <w:r>
              <w:t>Archive</w:t>
            </w:r>
          </w:p>
        </w:tc>
      </w:tr>
      <w:tr w:rsidR="00F64170" w:rsidTr="009F5D34">
        <w:tc>
          <w:tcPr>
            <w:tcW w:w="6475" w:type="dxa"/>
          </w:tcPr>
          <w:p w:rsidR="00A77E14" w:rsidRDefault="00F64170" w:rsidP="009F5D34">
            <w:r>
              <w:t>Sample</w:t>
            </w:r>
            <w:r w:rsidR="00A77E14">
              <w:t xml:space="preserve"> Data</w:t>
            </w:r>
          </w:p>
          <w:p w:rsidR="00A77E14" w:rsidRDefault="00A77E14" w:rsidP="00A77E14">
            <w:pPr>
              <w:pStyle w:val="ListParagraph"/>
              <w:numPr>
                <w:ilvl w:val="0"/>
                <w:numId w:val="12"/>
              </w:numPr>
            </w:pPr>
            <w:r>
              <w:t>Final sample files</w:t>
            </w:r>
          </w:p>
          <w:p w:rsidR="00A77E14" w:rsidRDefault="00A77E14" w:rsidP="00A77E14">
            <w:pPr>
              <w:pStyle w:val="ListParagraph"/>
              <w:numPr>
                <w:ilvl w:val="0"/>
                <w:numId w:val="12"/>
              </w:numPr>
            </w:pPr>
            <w:r>
              <w:t>C</w:t>
            </w:r>
            <w:r w:rsidR="00F64170">
              <w:t>rosswal</w:t>
            </w:r>
            <w:r>
              <w:t>ks</w:t>
            </w:r>
          </w:p>
          <w:p w:rsidR="00F64170" w:rsidRDefault="00A77E14" w:rsidP="00A77E14">
            <w:pPr>
              <w:pStyle w:val="ListParagraph"/>
              <w:numPr>
                <w:ilvl w:val="0"/>
                <w:numId w:val="12"/>
              </w:numPr>
            </w:pPr>
            <w:r>
              <w:t>S</w:t>
            </w:r>
            <w:r w:rsidR="00F64170">
              <w:t>ample frames</w:t>
            </w:r>
          </w:p>
          <w:p w:rsidR="00F64170" w:rsidRDefault="00F64170" w:rsidP="009F5D34"/>
        </w:tc>
        <w:tc>
          <w:tcPr>
            <w:tcW w:w="2160" w:type="dxa"/>
          </w:tcPr>
          <w:p w:rsidR="00F64170" w:rsidRDefault="00A77E14" w:rsidP="009F5D34">
            <w:r>
              <w:t>10</w:t>
            </w:r>
            <w:r w:rsidR="00F64170">
              <w:t xml:space="preserve"> years</w:t>
            </w:r>
          </w:p>
        </w:tc>
        <w:tc>
          <w:tcPr>
            <w:tcW w:w="3330" w:type="dxa"/>
          </w:tcPr>
          <w:p w:rsidR="00F64170" w:rsidRDefault="00F64170" w:rsidP="009F5D34">
            <w:r>
              <w:t>Shred/Delete</w:t>
            </w:r>
          </w:p>
        </w:tc>
      </w:tr>
      <w:tr w:rsidR="00F64170" w:rsidRPr="000A0975" w:rsidTr="009F5D34">
        <w:tc>
          <w:tcPr>
            <w:tcW w:w="6475" w:type="dxa"/>
          </w:tcPr>
          <w:p w:rsidR="00855D64" w:rsidRDefault="00855D64" w:rsidP="009F5D34">
            <w:r>
              <w:t>Paradata – Production</w:t>
            </w:r>
          </w:p>
          <w:p w:rsidR="00F64170" w:rsidRDefault="00855D64" w:rsidP="00A77E14">
            <w:pPr>
              <w:pStyle w:val="ListParagraph"/>
              <w:numPr>
                <w:ilvl w:val="0"/>
                <w:numId w:val="13"/>
              </w:numPr>
            </w:pPr>
            <w:r>
              <w:t>All s</w:t>
            </w:r>
            <w:r w:rsidR="00F64170" w:rsidRPr="000A0975">
              <w:t xml:space="preserve">ample </w:t>
            </w:r>
            <w:r>
              <w:t>management system data</w:t>
            </w:r>
          </w:p>
          <w:p w:rsidR="00855D64" w:rsidRDefault="00855D64" w:rsidP="00A77E14">
            <w:pPr>
              <w:pStyle w:val="ListParagraph"/>
              <w:numPr>
                <w:ilvl w:val="0"/>
                <w:numId w:val="13"/>
              </w:numPr>
            </w:pPr>
            <w:r>
              <w:t>Audit/session data</w:t>
            </w:r>
          </w:p>
          <w:p w:rsidR="00D5626A" w:rsidRPr="000A0975" w:rsidRDefault="00D5626A" w:rsidP="00A77E14">
            <w:pPr>
              <w:pStyle w:val="ListParagraph"/>
              <w:numPr>
                <w:ilvl w:val="0"/>
                <w:numId w:val="13"/>
              </w:numPr>
            </w:pPr>
            <w:r>
              <w:t>Email/text data</w:t>
            </w:r>
          </w:p>
        </w:tc>
        <w:tc>
          <w:tcPr>
            <w:tcW w:w="2160" w:type="dxa"/>
          </w:tcPr>
          <w:p w:rsidR="00F64170" w:rsidRPr="000A0975" w:rsidRDefault="00AE4A5C" w:rsidP="009F5D34">
            <w:r>
              <w:t>20</w:t>
            </w:r>
            <w:r w:rsidR="00F64170" w:rsidRPr="000A0975">
              <w:t xml:space="preserve"> years</w:t>
            </w:r>
          </w:p>
        </w:tc>
        <w:tc>
          <w:tcPr>
            <w:tcW w:w="3330" w:type="dxa"/>
          </w:tcPr>
          <w:p w:rsidR="00F64170" w:rsidRPr="000A0975" w:rsidRDefault="00F64170" w:rsidP="009F5D34">
            <w:r w:rsidRPr="000A0975">
              <w:t>Shred/Delete</w:t>
            </w:r>
          </w:p>
        </w:tc>
      </w:tr>
      <w:tr w:rsidR="00F64170" w:rsidRPr="000A0975" w:rsidTr="009F5D34">
        <w:tc>
          <w:tcPr>
            <w:tcW w:w="6475" w:type="dxa"/>
          </w:tcPr>
          <w:p w:rsidR="00855D64" w:rsidRDefault="00855D64" w:rsidP="009F5D34">
            <w:r>
              <w:t xml:space="preserve">Paradata – Testing, Training, Certification </w:t>
            </w:r>
          </w:p>
          <w:p w:rsidR="00F64170" w:rsidRPr="000A0975" w:rsidRDefault="00F64170" w:rsidP="009F5D34"/>
        </w:tc>
        <w:tc>
          <w:tcPr>
            <w:tcW w:w="2160" w:type="dxa"/>
          </w:tcPr>
          <w:p w:rsidR="00F64170" w:rsidRPr="000A0975" w:rsidRDefault="007367FC" w:rsidP="007367FC">
            <w:r>
              <w:t>Project Closeout</w:t>
            </w:r>
          </w:p>
        </w:tc>
        <w:tc>
          <w:tcPr>
            <w:tcW w:w="3330" w:type="dxa"/>
          </w:tcPr>
          <w:p w:rsidR="00F64170" w:rsidRPr="000A0975" w:rsidRDefault="00F64170" w:rsidP="009F5D34">
            <w:r w:rsidRPr="000A0975">
              <w:t>Shred/Delete</w:t>
            </w:r>
          </w:p>
        </w:tc>
      </w:tr>
      <w:tr w:rsidR="00F64170" w:rsidRPr="000A0975" w:rsidTr="009F5D34">
        <w:tc>
          <w:tcPr>
            <w:tcW w:w="6475" w:type="dxa"/>
          </w:tcPr>
          <w:p w:rsidR="00F64170" w:rsidRDefault="00CF2579" w:rsidP="009F5D34">
            <w:r>
              <w:t>Survey/</w:t>
            </w:r>
            <w:r w:rsidR="00855D64">
              <w:t>Instrument/</w:t>
            </w:r>
            <w:r>
              <w:t>Administrative data</w:t>
            </w:r>
            <w:r w:rsidR="00855D64">
              <w:t xml:space="preserve"> – Production</w:t>
            </w:r>
          </w:p>
          <w:p w:rsidR="00855D64" w:rsidRDefault="00855D64" w:rsidP="00A77E14">
            <w:pPr>
              <w:pStyle w:val="ListParagraph"/>
              <w:numPr>
                <w:ilvl w:val="0"/>
                <w:numId w:val="14"/>
              </w:numPr>
            </w:pPr>
            <w:r>
              <w:t>Blaise merged files</w:t>
            </w:r>
          </w:p>
          <w:p w:rsidR="00855D64" w:rsidRDefault="00855D64" w:rsidP="00A77E14">
            <w:pPr>
              <w:pStyle w:val="ListParagraph"/>
              <w:numPr>
                <w:ilvl w:val="0"/>
                <w:numId w:val="14"/>
              </w:numPr>
            </w:pPr>
            <w:r>
              <w:t>Data ops processing files</w:t>
            </w:r>
          </w:p>
          <w:p w:rsidR="00F64170" w:rsidRDefault="00855D64" w:rsidP="00A77E14">
            <w:pPr>
              <w:pStyle w:val="ListParagraph"/>
              <w:numPr>
                <w:ilvl w:val="0"/>
                <w:numId w:val="14"/>
              </w:numPr>
            </w:pPr>
            <w:r>
              <w:t xml:space="preserve">Qualtrics data </w:t>
            </w:r>
          </w:p>
          <w:p w:rsidR="00A77E14" w:rsidRPr="000A0975" w:rsidRDefault="00A77E14" w:rsidP="00A77E14">
            <w:pPr>
              <w:pStyle w:val="ListParagraph"/>
              <w:numPr>
                <w:ilvl w:val="0"/>
                <w:numId w:val="14"/>
              </w:numPr>
            </w:pPr>
            <w:r>
              <w:t>Other instrument data</w:t>
            </w:r>
          </w:p>
        </w:tc>
        <w:tc>
          <w:tcPr>
            <w:tcW w:w="2160" w:type="dxa"/>
          </w:tcPr>
          <w:p w:rsidR="00F64170" w:rsidRPr="000A0975" w:rsidRDefault="00855D64" w:rsidP="009F5D34">
            <w:r>
              <w:t>10</w:t>
            </w:r>
            <w:r w:rsidR="00F64170" w:rsidRPr="000A0975">
              <w:t xml:space="preserve"> years</w:t>
            </w:r>
          </w:p>
        </w:tc>
        <w:tc>
          <w:tcPr>
            <w:tcW w:w="3330" w:type="dxa"/>
          </w:tcPr>
          <w:p w:rsidR="00F64170" w:rsidRPr="000A0975" w:rsidRDefault="00F64170" w:rsidP="009F5D34">
            <w:r w:rsidRPr="000A0975">
              <w:t>Delete</w:t>
            </w:r>
          </w:p>
        </w:tc>
      </w:tr>
      <w:tr w:rsidR="00F64170" w:rsidTr="00FC24BD">
        <w:trPr>
          <w:trHeight w:val="70"/>
        </w:trPr>
        <w:tc>
          <w:tcPr>
            <w:tcW w:w="6475" w:type="dxa"/>
          </w:tcPr>
          <w:p w:rsidR="00EA15A1" w:rsidRDefault="00BF033D" w:rsidP="00BF033D">
            <w:r>
              <w:t>QC data/recordings</w:t>
            </w:r>
          </w:p>
          <w:p w:rsidR="00BF033D" w:rsidRDefault="00D5626A" w:rsidP="00EA15A1">
            <w:pPr>
              <w:pStyle w:val="ListParagraph"/>
              <w:numPr>
                <w:ilvl w:val="0"/>
                <w:numId w:val="20"/>
              </w:numPr>
            </w:pPr>
            <w:r>
              <w:t xml:space="preserve">OLIVE </w:t>
            </w:r>
          </w:p>
          <w:p w:rsidR="00EA15A1" w:rsidRDefault="00EA15A1" w:rsidP="00EA15A1">
            <w:pPr>
              <w:pStyle w:val="ListParagraph"/>
              <w:numPr>
                <w:ilvl w:val="0"/>
                <w:numId w:val="20"/>
              </w:numPr>
            </w:pPr>
            <w:r>
              <w:t>DRI files</w:t>
            </w:r>
          </w:p>
          <w:p w:rsidR="00EA15A1" w:rsidRDefault="00AE4A5C" w:rsidP="00EA15A1">
            <w:pPr>
              <w:pStyle w:val="ListParagraph"/>
              <w:numPr>
                <w:ilvl w:val="0"/>
                <w:numId w:val="20"/>
              </w:numPr>
            </w:pPr>
            <w:r>
              <w:t>SSL Recordings</w:t>
            </w:r>
          </w:p>
        </w:tc>
        <w:tc>
          <w:tcPr>
            <w:tcW w:w="2160" w:type="dxa"/>
          </w:tcPr>
          <w:p w:rsidR="00F64170" w:rsidRDefault="00EA15A1" w:rsidP="009F5D34">
            <w:r>
              <w:t>2</w:t>
            </w:r>
            <w:r w:rsidR="00F64170">
              <w:t xml:space="preserve"> years</w:t>
            </w:r>
          </w:p>
        </w:tc>
        <w:tc>
          <w:tcPr>
            <w:tcW w:w="3330" w:type="dxa"/>
          </w:tcPr>
          <w:p w:rsidR="00F64170" w:rsidRDefault="00F64170" w:rsidP="009F5D34">
            <w:r>
              <w:t>Delete</w:t>
            </w:r>
          </w:p>
        </w:tc>
      </w:tr>
    </w:tbl>
    <w:p w:rsidR="00A403F8" w:rsidRDefault="00A403F8">
      <w:bookmarkStart w:id="0" w:name="_GoBack"/>
      <w:bookmarkEnd w:id="0"/>
    </w:p>
    <w:sectPr w:rsidR="00A403F8" w:rsidSect="00AB4F7F">
      <w:footerReference w:type="default" r:id="rId9"/>
      <w:pgSz w:w="15840" w:h="12240" w:orient="landscape" w:code="1"/>
      <w:pgMar w:top="79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43D" w:rsidRDefault="00D3243D" w:rsidP="00CD175B">
      <w:pPr>
        <w:spacing w:after="0" w:line="240" w:lineRule="auto"/>
      </w:pPr>
      <w:r>
        <w:separator/>
      </w:r>
    </w:p>
  </w:endnote>
  <w:endnote w:type="continuationSeparator" w:id="0">
    <w:p w:rsidR="00D3243D" w:rsidRDefault="00D3243D" w:rsidP="00CD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067247"/>
      <w:docPartObj>
        <w:docPartGallery w:val="Page Numbers (Bottom of Page)"/>
        <w:docPartUnique/>
      </w:docPartObj>
    </w:sdtPr>
    <w:sdtEndPr/>
    <w:sdtContent>
      <w:sdt>
        <w:sdtPr>
          <w:id w:val="98381352"/>
          <w:docPartObj>
            <w:docPartGallery w:val="Page Numbers (Top of Page)"/>
            <w:docPartUnique/>
          </w:docPartObj>
        </w:sdtPr>
        <w:sdtEndPr/>
        <w:sdtContent>
          <w:p w:rsidR="00793916" w:rsidRDefault="00793916" w:rsidP="00CD175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5192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192E">
              <w:rPr>
                <w:b/>
                <w:bCs/>
                <w:noProof/>
              </w:rPr>
              <w:t>4</w:t>
            </w:r>
            <w:r>
              <w:rPr>
                <w:b/>
                <w:bCs/>
                <w:sz w:val="24"/>
                <w:szCs w:val="24"/>
              </w:rPr>
              <w:fldChar w:fldCharType="end"/>
            </w:r>
          </w:p>
        </w:sdtContent>
      </w:sdt>
    </w:sdtContent>
  </w:sdt>
  <w:p w:rsidR="00793916" w:rsidRDefault="00793916" w:rsidP="00CD17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43D" w:rsidRDefault="00D3243D" w:rsidP="00CD175B">
      <w:pPr>
        <w:spacing w:after="0" w:line="240" w:lineRule="auto"/>
      </w:pPr>
      <w:r>
        <w:separator/>
      </w:r>
    </w:p>
  </w:footnote>
  <w:footnote w:type="continuationSeparator" w:id="0">
    <w:p w:rsidR="00D3243D" w:rsidRDefault="00D3243D" w:rsidP="00CD1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0395"/>
    <w:multiLevelType w:val="hybridMultilevel"/>
    <w:tmpl w:val="0F4C4336"/>
    <w:lvl w:ilvl="0" w:tplc="22129650">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64AF3"/>
    <w:multiLevelType w:val="hybridMultilevel"/>
    <w:tmpl w:val="313E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35BDC"/>
    <w:multiLevelType w:val="hybridMultilevel"/>
    <w:tmpl w:val="BE3A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50215"/>
    <w:multiLevelType w:val="hybridMultilevel"/>
    <w:tmpl w:val="243E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F63D9"/>
    <w:multiLevelType w:val="hybridMultilevel"/>
    <w:tmpl w:val="E2E02F9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97495"/>
    <w:multiLevelType w:val="hybridMultilevel"/>
    <w:tmpl w:val="B390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3545B"/>
    <w:multiLevelType w:val="hybridMultilevel"/>
    <w:tmpl w:val="D7F8BD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24B03"/>
    <w:multiLevelType w:val="hybridMultilevel"/>
    <w:tmpl w:val="EDD0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A7D47"/>
    <w:multiLevelType w:val="hybridMultilevel"/>
    <w:tmpl w:val="AE80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11463"/>
    <w:multiLevelType w:val="hybridMultilevel"/>
    <w:tmpl w:val="8A80EC5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12453"/>
    <w:multiLevelType w:val="hybridMultilevel"/>
    <w:tmpl w:val="9E56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61072"/>
    <w:multiLevelType w:val="hybridMultilevel"/>
    <w:tmpl w:val="11C632D0"/>
    <w:lvl w:ilvl="0" w:tplc="20444DB2">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A1717"/>
    <w:multiLevelType w:val="hybridMultilevel"/>
    <w:tmpl w:val="5FA6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06FBF"/>
    <w:multiLevelType w:val="hybridMultilevel"/>
    <w:tmpl w:val="A292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A29E1"/>
    <w:multiLevelType w:val="hybridMultilevel"/>
    <w:tmpl w:val="D5F81D7A"/>
    <w:lvl w:ilvl="0" w:tplc="304AE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DA24B1"/>
    <w:multiLevelType w:val="hybridMultilevel"/>
    <w:tmpl w:val="928C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F364C3"/>
    <w:multiLevelType w:val="hybridMultilevel"/>
    <w:tmpl w:val="B000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592172"/>
    <w:multiLevelType w:val="hybridMultilevel"/>
    <w:tmpl w:val="9562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11B96"/>
    <w:multiLevelType w:val="hybridMultilevel"/>
    <w:tmpl w:val="0EDC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4085C"/>
    <w:multiLevelType w:val="hybridMultilevel"/>
    <w:tmpl w:val="3A0689A0"/>
    <w:lvl w:ilvl="0" w:tplc="46B4D5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9"/>
  </w:num>
  <w:num w:numId="4">
    <w:abstractNumId w:val="18"/>
  </w:num>
  <w:num w:numId="5">
    <w:abstractNumId w:val="10"/>
  </w:num>
  <w:num w:numId="6">
    <w:abstractNumId w:val="7"/>
  </w:num>
  <w:num w:numId="7">
    <w:abstractNumId w:val="15"/>
  </w:num>
  <w:num w:numId="8">
    <w:abstractNumId w:val="4"/>
  </w:num>
  <w:num w:numId="9">
    <w:abstractNumId w:val="6"/>
  </w:num>
  <w:num w:numId="10">
    <w:abstractNumId w:val="9"/>
  </w:num>
  <w:num w:numId="11">
    <w:abstractNumId w:val="14"/>
  </w:num>
  <w:num w:numId="12">
    <w:abstractNumId w:val="2"/>
  </w:num>
  <w:num w:numId="13">
    <w:abstractNumId w:val="17"/>
  </w:num>
  <w:num w:numId="14">
    <w:abstractNumId w:val="16"/>
  </w:num>
  <w:num w:numId="15">
    <w:abstractNumId w:val="5"/>
  </w:num>
  <w:num w:numId="16">
    <w:abstractNumId w:val="3"/>
  </w:num>
  <w:num w:numId="17">
    <w:abstractNumId w:val="12"/>
  </w:num>
  <w:num w:numId="18">
    <w:abstractNumId w:val="8"/>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F8"/>
    <w:rsid w:val="0000176C"/>
    <w:rsid w:val="0001159A"/>
    <w:rsid w:val="00017D46"/>
    <w:rsid w:val="0002257B"/>
    <w:rsid w:val="00036CBD"/>
    <w:rsid w:val="0007191C"/>
    <w:rsid w:val="000918CD"/>
    <w:rsid w:val="000A0975"/>
    <w:rsid w:val="000E0C39"/>
    <w:rsid w:val="00101EAE"/>
    <w:rsid w:val="0011175A"/>
    <w:rsid w:val="001170D0"/>
    <w:rsid w:val="0013690B"/>
    <w:rsid w:val="0015227D"/>
    <w:rsid w:val="00154BCD"/>
    <w:rsid w:val="00165551"/>
    <w:rsid w:val="00175E7A"/>
    <w:rsid w:val="0018177A"/>
    <w:rsid w:val="001D2029"/>
    <w:rsid w:val="001D2B21"/>
    <w:rsid w:val="001D666F"/>
    <w:rsid w:val="001F6FAB"/>
    <w:rsid w:val="00207CC4"/>
    <w:rsid w:val="00232CF2"/>
    <w:rsid w:val="00243569"/>
    <w:rsid w:val="00246B79"/>
    <w:rsid w:val="00256190"/>
    <w:rsid w:val="00293D59"/>
    <w:rsid w:val="002A1301"/>
    <w:rsid w:val="002A569C"/>
    <w:rsid w:val="002B33A3"/>
    <w:rsid w:val="002D694E"/>
    <w:rsid w:val="00301406"/>
    <w:rsid w:val="003165A4"/>
    <w:rsid w:val="00351A9B"/>
    <w:rsid w:val="00381AFF"/>
    <w:rsid w:val="003C16C3"/>
    <w:rsid w:val="003E2754"/>
    <w:rsid w:val="003E7015"/>
    <w:rsid w:val="003F1A07"/>
    <w:rsid w:val="00414C41"/>
    <w:rsid w:val="004162BC"/>
    <w:rsid w:val="00424257"/>
    <w:rsid w:val="0042543F"/>
    <w:rsid w:val="00436029"/>
    <w:rsid w:val="00445F96"/>
    <w:rsid w:val="004464F0"/>
    <w:rsid w:val="00474EE0"/>
    <w:rsid w:val="00475770"/>
    <w:rsid w:val="00483DCD"/>
    <w:rsid w:val="004A0A70"/>
    <w:rsid w:val="004D00FD"/>
    <w:rsid w:val="004E1B1A"/>
    <w:rsid w:val="004F41F6"/>
    <w:rsid w:val="00500DDE"/>
    <w:rsid w:val="00514DBA"/>
    <w:rsid w:val="00524928"/>
    <w:rsid w:val="0052789A"/>
    <w:rsid w:val="00534489"/>
    <w:rsid w:val="005379D5"/>
    <w:rsid w:val="00553F95"/>
    <w:rsid w:val="00556DD5"/>
    <w:rsid w:val="005735E4"/>
    <w:rsid w:val="0060099B"/>
    <w:rsid w:val="00610CD4"/>
    <w:rsid w:val="006239C6"/>
    <w:rsid w:val="00651F09"/>
    <w:rsid w:val="00681F9F"/>
    <w:rsid w:val="00690687"/>
    <w:rsid w:val="00695DD9"/>
    <w:rsid w:val="006A37E1"/>
    <w:rsid w:val="006C5C3A"/>
    <w:rsid w:val="006D6C80"/>
    <w:rsid w:val="006F38CB"/>
    <w:rsid w:val="006F3C37"/>
    <w:rsid w:val="007367FC"/>
    <w:rsid w:val="00744E3D"/>
    <w:rsid w:val="0075192E"/>
    <w:rsid w:val="00793916"/>
    <w:rsid w:val="00796B2C"/>
    <w:rsid w:val="007A1E7D"/>
    <w:rsid w:val="007A4D0C"/>
    <w:rsid w:val="007B15DE"/>
    <w:rsid w:val="007D5CF8"/>
    <w:rsid w:val="007E5206"/>
    <w:rsid w:val="0082558E"/>
    <w:rsid w:val="00827E92"/>
    <w:rsid w:val="00831F78"/>
    <w:rsid w:val="008455C0"/>
    <w:rsid w:val="008475D8"/>
    <w:rsid w:val="00855D64"/>
    <w:rsid w:val="008603FF"/>
    <w:rsid w:val="00873E15"/>
    <w:rsid w:val="008860BF"/>
    <w:rsid w:val="0088709C"/>
    <w:rsid w:val="008878BB"/>
    <w:rsid w:val="008922E8"/>
    <w:rsid w:val="008C34EF"/>
    <w:rsid w:val="008D52B5"/>
    <w:rsid w:val="008F22A9"/>
    <w:rsid w:val="008F6F38"/>
    <w:rsid w:val="00903A5E"/>
    <w:rsid w:val="0090630A"/>
    <w:rsid w:val="00906EC0"/>
    <w:rsid w:val="00921785"/>
    <w:rsid w:val="00926533"/>
    <w:rsid w:val="00961C41"/>
    <w:rsid w:val="00964736"/>
    <w:rsid w:val="00984BAA"/>
    <w:rsid w:val="009B5827"/>
    <w:rsid w:val="009C1B57"/>
    <w:rsid w:val="009D5625"/>
    <w:rsid w:val="009D7AEB"/>
    <w:rsid w:val="009E3843"/>
    <w:rsid w:val="009E4811"/>
    <w:rsid w:val="00A20C4F"/>
    <w:rsid w:val="00A21D4F"/>
    <w:rsid w:val="00A309FB"/>
    <w:rsid w:val="00A403F8"/>
    <w:rsid w:val="00A77E14"/>
    <w:rsid w:val="00A8534C"/>
    <w:rsid w:val="00AA185C"/>
    <w:rsid w:val="00AA4CD1"/>
    <w:rsid w:val="00AB4F7F"/>
    <w:rsid w:val="00AE2D2F"/>
    <w:rsid w:val="00AE3F4D"/>
    <w:rsid w:val="00AE4A5C"/>
    <w:rsid w:val="00B01526"/>
    <w:rsid w:val="00B31F66"/>
    <w:rsid w:val="00B348B8"/>
    <w:rsid w:val="00B37FDD"/>
    <w:rsid w:val="00B52AE5"/>
    <w:rsid w:val="00B557AF"/>
    <w:rsid w:val="00B579D9"/>
    <w:rsid w:val="00B63902"/>
    <w:rsid w:val="00B669BC"/>
    <w:rsid w:val="00B87CF1"/>
    <w:rsid w:val="00B9457E"/>
    <w:rsid w:val="00BA1CF3"/>
    <w:rsid w:val="00BB1652"/>
    <w:rsid w:val="00BB6C71"/>
    <w:rsid w:val="00BF033D"/>
    <w:rsid w:val="00C0153E"/>
    <w:rsid w:val="00C05692"/>
    <w:rsid w:val="00C14567"/>
    <w:rsid w:val="00C30593"/>
    <w:rsid w:val="00C3489F"/>
    <w:rsid w:val="00C46814"/>
    <w:rsid w:val="00C5317B"/>
    <w:rsid w:val="00C63AB2"/>
    <w:rsid w:val="00C814A3"/>
    <w:rsid w:val="00C91E99"/>
    <w:rsid w:val="00C96E0C"/>
    <w:rsid w:val="00CA2C00"/>
    <w:rsid w:val="00CB2ABF"/>
    <w:rsid w:val="00CC3C77"/>
    <w:rsid w:val="00CC421F"/>
    <w:rsid w:val="00CD175B"/>
    <w:rsid w:val="00CF2579"/>
    <w:rsid w:val="00D20F6C"/>
    <w:rsid w:val="00D3243D"/>
    <w:rsid w:val="00D410E5"/>
    <w:rsid w:val="00D42A69"/>
    <w:rsid w:val="00D50F6C"/>
    <w:rsid w:val="00D5626A"/>
    <w:rsid w:val="00D67734"/>
    <w:rsid w:val="00D93988"/>
    <w:rsid w:val="00DA0314"/>
    <w:rsid w:val="00DA563F"/>
    <w:rsid w:val="00DB10C8"/>
    <w:rsid w:val="00DC43F9"/>
    <w:rsid w:val="00DC52DA"/>
    <w:rsid w:val="00DE0756"/>
    <w:rsid w:val="00DF7DAA"/>
    <w:rsid w:val="00E22CD2"/>
    <w:rsid w:val="00E3474E"/>
    <w:rsid w:val="00E44A16"/>
    <w:rsid w:val="00E50051"/>
    <w:rsid w:val="00E57BF2"/>
    <w:rsid w:val="00E73A13"/>
    <w:rsid w:val="00E96782"/>
    <w:rsid w:val="00EA15A1"/>
    <w:rsid w:val="00EB5702"/>
    <w:rsid w:val="00EE3480"/>
    <w:rsid w:val="00EE3C82"/>
    <w:rsid w:val="00EF24DA"/>
    <w:rsid w:val="00F13247"/>
    <w:rsid w:val="00F20D88"/>
    <w:rsid w:val="00F33515"/>
    <w:rsid w:val="00F33781"/>
    <w:rsid w:val="00F51B01"/>
    <w:rsid w:val="00F57B39"/>
    <w:rsid w:val="00F64170"/>
    <w:rsid w:val="00F9482D"/>
    <w:rsid w:val="00F97349"/>
    <w:rsid w:val="00FB0E4D"/>
    <w:rsid w:val="00FB1D5E"/>
    <w:rsid w:val="00FC24BD"/>
    <w:rsid w:val="00FD6C48"/>
    <w:rsid w:val="00FD71F1"/>
    <w:rsid w:val="00FE2123"/>
    <w:rsid w:val="00FE5848"/>
    <w:rsid w:val="00FF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3715"/>
  <w15:docId w15:val="{A6F59428-7078-48C2-9DA1-3F7B2EC1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3D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3F8"/>
    <w:pPr>
      <w:ind w:left="720"/>
      <w:contextualSpacing/>
    </w:pPr>
  </w:style>
  <w:style w:type="paragraph" w:styleId="BalloonText">
    <w:name w:val="Balloon Text"/>
    <w:basedOn w:val="Normal"/>
    <w:link w:val="BalloonTextChar"/>
    <w:uiPriority w:val="99"/>
    <w:semiHidden/>
    <w:unhideWhenUsed/>
    <w:rsid w:val="00FF4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26D"/>
    <w:rPr>
      <w:rFonts w:ascii="Tahoma" w:hAnsi="Tahoma" w:cs="Tahoma"/>
      <w:sz w:val="16"/>
      <w:szCs w:val="16"/>
    </w:rPr>
  </w:style>
  <w:style w:type="paragraph" w:styleId="Header">
    <w:name w:val="header"/>
    <w:basedOn w:val="Normal"/>
    <w:link w:val="HeaderChar"/>
    <w:uiPriority w:val="99"/>
    <w:unhideWhenUsed/>
    <w:rsid w:val="00CD1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75B"/>
  </w:style>
  <w:style w:type="paragraph" w:styleId="Footer">
    <w:name w:val="footer"/>
    <w:basedOn w:val="Normal"/>
    <w:link w:val="FooterChar"/>
    <w:uiPriority w:val="99"/>
    <w:unhideWhenUsed/>
    <w:rsid w:val="00CD1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75B"/>
  </w:style>
  <w:style w:type="character" w:styleId="CommentReference">
    <w:name w:val="annotation reference"/>
    <w:basedOn w:val="DefaultParagraphFont"/>
    <w:uiPriority w:val="99"/>
    <w:semiHidden/>
    <w:unhideWhenUsed/>
    <w:rsid w:val="004E1B1A"/>
    <w:rPr>
      <w:sz w:val="16"/>
      <w:szCs w:val="16"/>
    </w:rPr>
  </w:style>
  <w:style w:type="paragraph" w:styleId="CommentText">
    <w:name w:val="annotation text"/>
    <w:basedOn w:val="Normal"/>
    <w:link w:val="CommentTextChar"/>
    <w:uiPriority w:val="99"/>
    <w:semiHidden/>
    <w:unhideWhenUsed/>
    <w:rsid w:val="004E1B1A"/>
    <w:pPr>
      <w:spacing w:line="240" w:lineRule="auto"/>
    </w:pPr>
    <w:rPr>
      <w:sz w:val="20"/>
      <w:szCs w:val="20"/>
    </w:rPr>
  </w:style>
  <w:style w:type="character" w:customStyle="1" w:styleId="CommentTextChar">
    <w:name w:val="Comment Text Char"/>
    <w:basedOn w:val="DefaultParagraphFont"/>
    <w:link w:val="CommentText"/>
    <w:uiPriority w:val="99"/>
    <w:semiHidden/>
    <w:rsid w:val="004E1B1A"/>
    <w:rPr>
      <w:sz w:val="20"/>
      <w:szCs w:val="20"/>
    </w:rPr>
  </w:style>
  <w:style w:type="paragraph" w:styleId="CommentSubject">
    <w:name w:val="annotation subject"/>
    <w:basedOn w:val="CommentText"/>
    <w:next w:val="CommentText"/>
    <w:link w:val="CommentSubjectChar"/>
    <w:uiPriority w:val="99"/>
    <w:semiHidden/>
    <w:unhideWhenUsed/>
    <w:rsid w:val="004E1B1A"/>
    <w:rPr>
      <w:b/>
      <w:bCs/>
    </w:rPr>
  </w:style>
  <w:style w:type="character" w:customStyle="1" w:styleId="CommentSubjectChar">
    <w:name w:val="Comment Subject Char"/>
    <w:basedOn w:val="CommentTextChar"/>
    <w:link w:val="CommentSubject"/>
    <w:uiPriority w:val="99"/>
    <w:semiHidden/>
    <w:rsid w:val="004E1B1A"/>
    <w:rPr>
      <w:b/>
      <w:bCs/>
      <w:sz w:val="20"/>
      <w:szCs w:val="20"/>
    </w:rPr>
  </w:style>
  <w:style w:type="table" w:customStyle="1" w:styleId="TableGrid1">
    <w:name w:val="Table Grid1"/>
    <w:basedOn w:val="TableNormal"/>
    <w:next w:val="TableGrid"/>
    <w:uiPriority w:val="59"/>
    <w:rsid w:val="00845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93D5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638672">
      <w:bodyDiv w:val="1"/>
      <w:marLeft w:val="0"/>
      <w:marRight w:val="0"/>
      <w:marTop w:val="0"/>
      <w:marBottom w:val="0"/>
      <w:divBdr>
        <w:top w:val="none" w:sz="0" w:space="0" w:color="auto"/>
        <w:left w:val="none" w:sz="0" w:space="0" w:color="auto"/>
        <w:bottom w:val="none" w:sz="0" w:space="0" w:color="auto"/>
        <w:right w:val="none" w:sz="0" w:space="0" w:color="auto"/>
      </w:divBdr>
    </w:div>
    <w:div w:id="183136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E5CA0-38AE-4AA0-91C0-482EF7DF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18070</TotalTime>
  <Pages>4</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Chatain</dc:creator>
  <cp:lastModifiedBy>Kelly Chatain</cp:lastModifiedBy>
  <cp:revision>8</cp:revision>
  <cp:lastPrinted>2013-10-18T20:03:00Z</cp:lastPrinted>
  <dcterms:created xsi:type="dcterms:W3CDTF">2024-02-28T19:19:00Z</dcterms:created>
  <dcterms:modified xsi:type="dcterms:W3CDTF">2024-12-17T18:55:00Z</dcterms:modified>
</cp:coreProperties>
</file>